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58BF2" w14:textId="77777777" w:rsidR="00B512D1" w:rsidRDefault="004C635F" w:rsidP="0001762F">
      <w:pPr>
        <w:pStyle w:val="Heading4"/>
        <w:rPr>
          <w:rFonts w:ascii="Arial" w:hAnsi="Arial" w:cs="Arial"/>
          <w:sz w:val="24"/>
          <w:szCs w:val="24"/>
        </w:rPr>
      </w:pPr>
      <w:r>
        <w:rPr>
          <w:rFonts w:ascii="Arial" w:hAnsi="Arial" w:cs="Arial"/>
          <w:sz w:val="24"/>
          <w:szCs w:val="24"/>
        </w:rPr>
        <w:t>OUTPUT MONITORING GROUP</w:t>
      </w:r>
    </w:p>
    <w:p w14:paraId="0856B5C8" w14:textId="77777777" w:rsidR="00E1661A" w:rsidRPr="000167C0" w:rsidRDefault="008B1219" w:rsidP="0001762F">
      <w:pPr>
        <w:pStyle w:val="Heading4"/>
        <w:rPr>
          <w:rFonts w:ascii="Arial" w:hAnsi="Arial" w:cs="Arial"/>
          <w:sz w:val="24"/>
          <w:szCs w:val="24"/>
        </w:rPr>
      </w:pPr>
      <w:r>
        <w:rPr>
          <w:rFonts w:ascii="Arial" w:hAnsi="Arial" w:cs="Arial"/>
          <w:sz w:val="24"/>
          <w:szCs w:val="24"/>
        </w:rPr>
        <w:t xml:space="preserve">DRAFT OUTPUT MONITORING REPORT: </w:t>
      </w:r>
      <w:r w:rsidR="00340837">
        <w:rPr>
          <w:rFonts w:ascii="Arial" w:hAnsi="Arial" w:cs="Arial"/>
          <w:sz w:val="24"/>
          <w:szCs w:val="24"/>
        </w:rPr>
        <w:t xml:space="preserve">Quarter </w:t>
      </w:r>
      <w:r w:rsidR="009E647A">
        <w:rPr>
          <w:rFonts w:ascii="Arial" w:hAnsi="Arial" w:cs="Arial"/>
          <w:sz w:val="24"/>
          <w:szCs w:val="24"/>
        </w:rPr>
        <w:t xml:space="preserve">3 </w:t>
      </w:r>
      <w:r w:rsidR="00484D6B">
        <w:rPr>
          <w:rFonts w:ascii="Arial" w:hAnsi="Arial" w:cs="Arial"/>
          <w:sz w:val="24"/>
          <w:szCs w:val="24"/>
        </w:rPr>
        <w:t xml:space="preserve">2015-16 </w:t>
      </w:r>
    </w:p>
    <w:p w14:paraId="01887EAB" w14:textId="77777777" w:rsidR="00E1661A" w:rsidRPr="004B5C2C" w:rsidRDefault="00E1661A" w:rsidP="00D2263D">
      <w:pPr>
        <w:pBdr>
          <w:top w:val="single" w:sz="4" w:space="0" w:color="auto"/>
        </w:pBdr>
        <w:jc w:val="both"/>
        <w:rPr>
          <w:rFonts w:ascii="Arial" w:hAnsi="Arial" w:cs="Arial"/>
        </w:rPr>
      </w:pPr>
    </w:p>
    <w:p w14:paraId="6C7024C2" w14:textId="77777777" w:rsidR="00BF50E9" w:rsidRPr="00F3019F" w:rsidRDefault="00EA35FC" w:rsidP="00F3019F">
      <w:pPr>
        <w:pStyle w:val="ListParagraph"/>
        <w:spacing w:after="0"/>
        <w:ind w:left="0"/>
        <w:jc w:val="both"/>
        <w:rPr>
          <w:rFonts w:ascii="Arial" w:hAnsi="Arial" w:cs="Arial"/>
        </w:rPr>
      </w:pPr>
      <w:r>
        <w:rPr>
          <w:rFonts w:ascii="Arial" w:hAnsi="Arial" w:cs="Arial"/>
          <w:b/>
          <w:bCs/>
        </w:rPr>
        <w:t xml:space="preserve">1.  </w:t>
      </w:r>
      <w:r w:rsidR="00BF50E9" w:rsidRPr="00F3019F">
        <w:rPr>
          <w:rFonts w:ascii="Arial" w:hAnsi="Arial" w:cs="Arial"/>
          <w:b/>
          <w:bCs/>
        </w:rPr>
        <w:t xml:space="preserve">Introduction </w:t>
      </w:r>
    </w:p>
    <w:p w14:paraId="253F20FD" w14:textId="77777777" w:rsidR="00BF50E9" w:rsidRDefault="00BF50E9" w:rsidP="00BF50E9">
      <w:pPr>
        <w:spacing w:after="0"/>
        <w:jc w:val="both"/>
        <w:rPr>
          <w:rFonts w:ascii="Arial" w:hAnsi="Arial" w:cs="Arial"/>
        </w:rPr>
      </w:pPr>
      <w:r w:rsidRPr="00C13E29">
        <w:rPr>
          <w:rFonts w:ascii="Arial" w:hAnsi="Arial" w:cs="Arial"/>
        </w:rPr>
        <w:t xml:space="preserve">This document summarises what has been achieved for customers against Scottish Water’s Delivery Plan </w:t>
      </w:r>
      <w:r w:rsidR="0030551C">
        <w:rPr>
          <w:rFonts w:ascii="Arial" w:hAnsi="Arial" w:cs="Arial"/>
        </w:rPr>
        <w:t xml:space="preserve">for the 2015-21 period </w:t>
      </w:r>
      <w:r w:rsidRPr="00C13E29">
        <w:rPr>
          <w:rFonts w:ascii="Arial" w:hAnsi="Arial" w:cs="Arial"/>
        </w:rPr>
        <w:t xml:space="preserve">and confirms the position up to the </w:t>
      </w:r>
      <w:r>
        <w:rPr>
          <w:rFonts w:ascii="Arial" w:hAnsi="Arial" w:cs="Arial"/>
        </w:rPr>
        <w:t xml:space="preserve">end of </w:t>
      </w:r>
      <w:r w:rsidR="003C7751">
        <w:rPr>
          <w:rFonts w:ascii="Arial" w:hAnsi="Arial" w:cs="Arial"/>
        </w:rPr>
        <w:t xml:space="preserve">December </w:t>
      </w:r>
      <w:r>
        <w:rPr>
          <w:rFonts w:ascii="Arial" w:hAnsi="Arial" w:cs="Arial"/>
        </w:rPr>
        <w:t>2015 (</w:t>
      </w:r>
      <w:r w:rsidR="00340837">
        <w:rPr>
          <w:rFonts w:ascii="Arial" w:hAnsi="Arial" w:cs="Arial"/>
        </w:rPr>
        <w:t xml:space="preserve">Quarter </w:t>
      </w:r>
      <w:r w:rsidR="003C7751">
        <w:rPr>
          <w:rFonts w:ascii="Arial" w:hAnsi="Arial" w:cs="Arial"/>
        </w:rPr>
        <w:t xml:space="preserve">3 </w:t>
      </w:r>
      <w:r>
        <w:rPr>
          <w:rFonts w:ascii="Arial" w:hAnsi="Arial" w:cs="Arial"/>
        </w:rPr>
        <w:t>2015</w:t>
      </w:r>
      <w:r w:rsidR="00D42CAC">
        <w:rPr>
          <w:rFonts w:ascii="Arial" w:hAnsi="Arial" w:cs="Arial"/>
        </w:rPr>
        <w:t>/</w:t>
      </w:r>
      <w:r>
        <w:rPr>
          <w:rFonts w:ascii="Arial" w:hAnsi="Arial" w:cs="Arial"/>
        </w:rPr>
        <w:t>16).</w:t>
      </w:r>
      <w:r w:rsidRPr="00C13E29">
        <w:rPr>
          <w:rFonts w:ascii="Arial" w:hAnsi="Arial" w:cs="Arial"/>
        </w:rPr>
        <w:t xml:space="preserve"> </w:t>
      </w:r>
      <w:r>
        <w:rPr>
          <w:rFonts w:ascii="Arial" w:hAnsi="Arial" w:cs="Arial"/>
        </w:rPr>
        <w:t xml:space="preserve"> </w:t>
      </w:r>
      <w:r w:rsidRPr="00C13E29">
        <w:rPr>
          <w:rFonts w:ascii="Arial" w:hAnsi="Arial" w:cs="Arial"/>
        </w:rPr>
        <w:t xml:space="preserve">It has been prepared </w:t>
      </w:r>
      <w:r>
        <w:rPr>
          <w:rFonts w:ascii="Arial" w:hAnsi="Arial" w:cs="Arial"/>
        </w:rPr>
        <w:t>for</w:t>
      </w:r>
      <w:r w:rsidRPr="00C13E29">
        <w:rPr>
          <w:rFonts w:ascii="Arial" w:hAnsi="Arial" w:cs="Arial"/>
        </w:rPr>
        <w:t xml:space="preserve"> the Output Monitoring Group (OMG) which was set up </w:t>
      </w:r>
      <w:r>
        <w:rPr>
          <w:rFonts w:ascii="Arial" w:hAnsi="Arial" w:cs="Arial"/>
        </w:rPr>
        <w:t xml:space="preserve">by Ministers </w:t>
      </w:r>
      <w:r w:rsidRPr="00C13E29">
        <w:rPr>
          <w:rFonts w:ascii="Arial" w:hAnsi="Arial" w:cs="Arial"/>
        </w:rPr>
        <w:t xml:space="preserve">to monitor and report on the delivery of </w:t>
      </w:r>
      <w:r>
        <w:rPr>
          <w:rFonts w:ascii="Arial" w:hAnsi="Arial" w:cs="Arial"/>
        </w:rPr>
        <w:t>their</w:t>
      </w:r>
      <w:r w:rsidRPr="00C13E29">
        <w:rPr>
          <w:rFonts w:ascii="Arial" w:hAnsi="Arial" w:cs="Arial"/>
          <w:color w:val="0000FF"/>
          <w:u w:val="single"/>
        </w:rPr>
        <w:t xml:space="preserve"> </w:t>
      </w:r>
      <w:hyperlink r:id="rId13" w:history="1">
        <w:r w:rsidRPr="00D251C7">
          <w:rPr>
            <w:rStyle w:val="Hyperlink"/>
            <w:rFonts w:ascii="Arial" w:hAnsi="Arial" w:cs="Arial"/>
          </w:rPr>
          <w:t>Objectives.</w:t>
        </w:r>
      </w:hyperlink>
      <w:r w:rsidRPr="00C13E29">
        <w:rPr>
          <w:rFonts w:ascii="Arial" w:hAnsi="Arial" w:cs="Arial"/>
        </w:rPr>
        <w:t xml:space="preserve">    </w:t>
      </w:r>
    </w:p>
    <w:p w14:paraId="01E14854" w14:textId="77777777" w:rsidR="00BF50E9" w:rsidRPr="000E2A65" w:rsidRDefault="00BF50E9" w:rsidP="00BF50E9">
      <w:pPr>
        <w:spacing w:after="0"/>
        <w:jc w:val="both"/>
        <w:rPr>
          <w:rFonts w:ascii="Arial" w:hAnsi="Arial" w:cs="Arial"/>
          <w:sz w:val="16"/>
          <w:szCs w:val="16"/>
        </w:rPr>
      </w:pPr>
    </w:p>
    <w:p w14:paraId="3AA07DC1" w14:textId="77777777" w:rsidR="00BF50E9" w:rsidRDefault="00BF50E9" w:rsidP="00BF50E9">
      <w:pPr>
        <w:spacing w:after="0"/>
        <w:jc w:val="both"/>
        <w:rPr>
          <w:rFonts w:ascii="Arial" w:hAnsi="Arial" w:cs="Arial"/>
        </w:rPr>
      </w:pPr>
      <w:r w:rsidRPr="00C13E29">
        <w:rPr>
          <w:rFonts w:ascii="Arial" w:hAnsi="Arial" w:cs="Arial"/>
        </w:rPr>
        <w:t xml:space="preserve">The </w:t>
      </w:r>
      <w:r w:rsidR="0047730C">
        <w:rPr>
          <w:rFonts w:ascii="Arial" w:hAnsi="Arial" w:cs="Arial"/>
        </w:rPr>
        <w:t>OMG</w:t>
      </w:r>
      <w:r w:rsidRPr="00C13E29">
        <w:rPr>
          <w:rFonts w:ascii="Arial" w:hAnsi="Arial" w:cs="Arial"/>
        </w:rPr>
        <w:t xml:space="preserve"> comprises the main stakeholders in Scotland’s water industry: Scottish Government, Scottish Water, </w:t>
      </w:r>
      <w:r>
        <w:rPr>
          <w:rFonts w:ascii="Arial" w:hAnsi="Arial" w:cs="Arial"/>
        </w:rPr>
        <w:t>Citizens Advice Scotland</w:t>
      </w:r>
      <w:r w:rsidRPr="00965B6F">
        <w:rPr>
          <w:rFonts w:ascii="Arial" w:hAnsi="Arial" w:cs="Arial"/>
        </w:rPr>
        <w:t xml:space="preserve">, </w:t>
      </w:r>
      <w:r w:rsidRPr="00965B6F">
        <w:rPr>
          <w:rFonts w:ascii="Arial" w:hAnsi="Arial" w:cs="Arial"/>
          <w:iCs/>
        </w:rPr>
        <w:t>Scottish Public Services Ombudsman</w:t>
      </w:r>
      <w:r>
        <w:rPr>
          <w:rFonts w:ascii="Arial" w:hAnsi="Arial" w:cs="Arial"/>
        </w:rPr>
        <w:t xml:space="preserve"> </w:t>
      </w:r>
      <w:r w:rsidRPr="00C13E29">
        <w:rPr>
          <w:rFonts w:ascii="Arial" w:hAnsi="Arial" w:cs="Arial"/>
        </w:rPr>
        <w:t>and the regulators (the Water Industry Commission for Scotland, the Scottish Environment Protection Agency and the Drinking Water Quality Regulator</w:t>
      </w:r>
      <w:r>
        <w:rPr>
          <w:rFonts w:ascii="Arial" w:hAnsi="Arial" w:cs="Arial"/>
        </w:rPr>
        <w:t>)</w:t>
      </w:r>
      <w:r w:rsidRPr="00C13E29">
        <w:rPr>
          <w:rFonts w:ascii="Arial" w:hAnsi="Arial" w:cs="Arial"/>
        </w:rPr>
        <w:t>.  It is chaired by Scottish Government and operates under a Terms of Reference agreed by Ministers.</w:t>
      </w:r>
    </w:p>
    <w:p w14:paraId="3A053AA5" w14:textId="77777777" w:rsidR="00F11CD6" w:rsidRDefault="00F11CD6" w:rsidP="00BF50E9">
      <w:pPr>
        <w:spacing w:after="0"/>
        <w:jc w:val="both"/>
        <w:rPr>
          <w:rFonts w:ascii="Arial" w:hAnsi="Arial" w:cs="Arial"/>
        </w:rPr>
      </w:pPr>
    </w:p>
    <w:p w14:paraId="75A79B23" w14:textId="77777777" w:rsidR="008A3A38" w:rsidRDefault="008A3A38" w:rsidP="008A3A38">
      <w:pPr>
        <w:spacing w:after="0"/>
        <w:jc w:val="both"/>
        <w:rPr>
          <w:rFonts w:ascii="Arial" w:hAnsi="Arial" w:cs="Arial"/>
          <w:b/>
          <w:bCs/>
        </w:rPr>
      </w:pPr>
      <w:r>
        <w:rPr>
          <w:rFonts w:ascii="Arial" w:hAnsi="Arial" w:cs="Arial"/>
          <w:b/>
          <w:bCs/>
        </w:rPr>
        <w:t>1.1</w:t>
      </w:r>
      <w:r>
        <w:rPr>
          <w:rFonts w:ascii="Arial" w:hAnsi="Arial" w:cs="Arial"/>
          <w:b/>
          <w:bCs/>
        </w:rPr>
        <w:tab/>
      </w:r>
      <w:r w:rsidRPr="00C13E29">
        <w:rPr>
          <w:rFonts w:ascii="Arial" w:hAnsi="Arial" w:cs="Arial"/>
          <w:b/>
          <w:bCs/>
        </w:rPr>
        <w:t>What We Monitor</w:t>
      </w:r>
    </w:p>
    <w:p w14:paraId="39F78DB1" w14:textId="77777777" w:rsidR="008A3A38" w:rsidRDefault="008A3A38" w:rsidP="008A3A38">
      <w:pPr>
        <w:spacing w:after="0"/>
        <w:jc w:val="both"/>
        <w:rPr>
          <w:rFonts w:ascii="Arial" w:hAnsi="Arial" w:cs="Arial"/>
        </w:rPr>
      </w:pPr>
      <w:r>
        <w:rPr>
          <w:rFonts w:ascii="Arial" w:hAnsi="Arial" w:cs="Arial"/>
        </w:rPr>
        <w:t>E</w:t>
      </w:r>
      <w:r w:rsidRPr="00C13E29">
        <w:rPr>
          <w:rFonts w:ascii="Arial" w:hAnsi="Arial" w:cs="Arial"/>
        </w:rPr>
        <w:t xml:space="preserve">ach quarter </w:t>
      </w:r>
      <w:r>
        <w:rPr>
          <w:rFonts w:ascii="Arial" w:hAnsi="Arial" w:cs="Arial"/>
        </w:rPr>
        <w:t xml:space="preserve">the </w:t>
      </w:r>
      <w:r w:rsidRPr="00C13E29">
        <w:rPr>
          <w:rFonts w:ascii="Arial" w:hAnsi="Arial" w:cs="Arial"/>
        </w:rPr>
        <w:t>OMG assesses Scottish Water’s progress with the delivery o</w:t>
      </w:r>
      <w:r>
        <w:rPr>
          <w:rFonts w:ascii="Arial" w:hAnsi="Arial" w:cs="Arial"/>
        </w:rPr>
        <w:t>f outputs using a</w:t>
      </w:r>
      <w:r w:rsidRPr="00C13E29">
        <w:rPr>
          <w:rFonts w:ascii="Arial" w:hAnsi="Arial" w:cs="Arial"/>
        </w:rPr>
        <w:t xml:space="preserve"> metric, Ov</w:t>
      </w:r>
      <w:r>
        <w:rPr>
          <w:rFonts w:ascii="Arial" w:hAnsi="Arial" w:cs="Arial"/>
        </w:rPr>
        <w:t>erall Measure of Delivery (OMD),</w:t>
      </w:r>
      <w:r w:rsidRPr="00C13E29">
        <w:rPr>
          <w:rFonts w:ascii="Arial" w:hAnsi="Arial" w:cs="Arial"/>
        </w:rPr>
        <w:t xml:space="preserve"> to measure Scottish Water’s progress against </w:t>
      </w:r>
      <w:r>
        <w:rPr>
          <w:rFonts w:ascii="Arial" w:hAnsi="Arial" w:cs="Arial"/>
        </w:rPr>
        <w:t>targets agreed in its Delivery Plan</w:t>
      </w:r>
      <w:r w:rsidRPr="00C13E29">
        <w:rPr>
          <w:rFonts w:ascii="Arial" w:hAnsi="Arial" w:cs="Arial"/>
        </w:rPr>
        <w:t xml:space="preserve">.  </w:t>
      </w:r>
    </w:p>
    <w:p w14:paraId="6903A26E" w14:textId="77777777" w:rsidR="008A3A38" w:rsidRDefault="008A3A38" w:rsidP="008A3A38">
      <w:pPr>
        <w:spacing w:after="0"/>
        <w:jc w:val="both"/>
        <w:rPr>
          <w:rFonts w:ascii="Arial" w:hAnsi="Arial" w:cs="Arial"/>
        </w:rPr>
      </w:pPr>
    </w:p>
    <w:p w14:paraId="4B7B3BB7" w14:textId="77777777" w:rsidR="008A3A38" w:rsidRDefault="008A3A38" w:rsidP="008A3A38">
      <w:pPr>
        <w:spacing w:after="0"/>
        <w:jc w:val="both"/>
        <w:rPr>
          <w:rFonts w:ascii="Arial" w:hAnsi="Arial" w:cs="Arial"/>
        </w:rPr>
      </w:pPr>
      <w:r w:rsidRPr="00191E39">
        <w:rPr>
          <w:rFonts w:ascii="Arial" w:hAnsi="Arial" w:cs="Arial"/>
        </w:rPr>
        <w:t xml:space="preserve">Delivery progress is also monitored against the outputs </w:t>
      </w:r>
      <w:r>
        <w:rPr>
          <w:rFonts w:ascii="Arial" w:hAnsi="Arial" w:cs="Arial"/>
        </w:rPr>
        <w:t>agreed</w:t>
      </w:r>
      <w:r w:rsidRPr="00191E39">
        <w:rPr>
          <w:rFonts w:ascii="Arial" w:hAnsi="Arial" w:cs="Arial"/>
        </w:rPr>
        <w:t xml:space="preserve"> for individual programme</w:t>
      </w:r>
      <w:r>
        <w:rPr>
          <w:rFonts w:ascii="Arial" w:hAnsi="Arial" w:cs="Arial"/>
        </w:rPr>
        <w:t>s</w:t>
      </w:r>
      <w:r w:rsidRPr="00191E39">
        <w:rPr>
          <w:rFonts w:ascii="Arial" w:hAnsi="Arial" w:cs="Arial"/>
        </w:rPr>
        <w:t xml:space="preserve"> in Scottish Water's Delivery Plan</w:t>
      </w:r>
      <w:r>
        <w:rPr>
          <w:rFonts w:ascii="Arial" w:hAnsi="Arial" w:cs="Arial"/>
        </w:rPr>
        <w:t xml:space="preserve">, </w:t>
      </w:r>
      <w:r w:rsidRPr="00191E39">
        <w:rPr>
          <w:rFonts w:ascii="Arial" w:hAnsi="Arial" w:cs="Arial"/>
        </w:rPr>
        <w:t xml:space="preserve">as shown in the following </w:t>
      </w:r>
      <w:r>
        <w:rPr>
          <w:rFonts w:ascii="Arial" w:hAnsi="Arial" w:cs="Arial"/>
        </w:rPr>
        <w:t>sections</w:t>
      </w:r>
      <w:r w:rsidRPr="00191E39">
        <w:rPr>
          <w:rFonts w:ascii="Arial" w:hAnsi="Arial" w:cs="Arial"/>
        </w:rPr>
        <w:t xml:space="preserve">:  </w:t>
      </w:r>
    </w:p>
    <w:p w14:paraId="51AEA895" w14:textId="77777777" w:rsidR="008A3A38" w:rsidRDefault="008A3A38" w:rsidP="008A3A38">
      <w:pPr>
        <w:spacing w:after="0"/>
        <w:jc w:val="both"/>
        <w:rPr>
          <w:rFonts w:ascii="Arial" w:hAnsi="Arial" w:cs="Arial"/>
        </w:rPr>
      </w:pPr>
    </w:p>
    <w:p w14:paraId="34863273" w14:textId="77777777" w:rsidR="008A3A38" w:rsidRDefault="008A3A38" w:rsidP="008A3A38">
      <w:pPr>
        <w:pStyle w:val="ListParagraph"/>
        <w:numPr>
          <w:ilvl w:val="0"/>
          <w:numId w:val="27"/>
        </w:numPr>
        <w:spacing w:after="0"/>
        <w:jc w:val="both"/>
        <w:rPr>
          <w:rFonts w:ascii="Arial" w:hAnsi="Arial" w:cs="Arial"/>
        </w:rPr>
      </w:pPr>
      <w:r>
        <w:rPr>
          <w:rFonts w:ascii="Arial" w:hAnsi="Arial" w:cs="Arial"/>
        </w:rPr>
        <w:t>Section 2: Providing continuous high quality drinking water (includes drinking water quality, reliability and security of supply).</w:t>
      </w:r>
    </w:p>
    <w:p w14:paraId="1B4A22D9" w14:textId="77777777" w:rsidR="008A3A38" w:rsidRDefault="008A3A38" w:rsidP="008A3A38">
      <w:pPr>
        <w:pStyle w:val="ListParagraph"/>
        <w:spacing w:after="0"/>
        <w:jc w:val="both"/>
        <w:rPr>
          <w:rFonts w:ascii="Arial" w:hAnsi="Arial" w:cs="Arial"/>
        </w:rPr>
      </w:pPr>
    </w:p>
    <w:p w14:paraId="062793BC" w14:textId="77777777" w:rsidR="008A3A38" w:rsidRDefault="008A3A38" w:rsidP="008A3A38">
      <w:pPr>
        <w:pStyle w:val="ListParagraph"/>
        <w:numPr>
          <w:ilvl w:val="0"/>
          <w:numId w:val="27"/>
        </w:numPr>
        <w:spacing w:after="0"/>
        <w:jc w:val="both"/>
        <w:rPr>
          <w:rFonts w:ascii="Arial" w:hAnsi="Arial" w:cs="Arial"/>
        </w:rPr>
      </w:pPr>
      <w:r>
        <w:rPr>
          <w:rFonts w:ascii="Arial" w:hAnsi="Arial" w:cs="Arial"/>
        </w:rPr>
        <w:t>Section 3: Protecting and enhancing the environment (includes flood risk management).</w:t>
      </w:r>
    </w:p>
    <w:p w14:paraId="375B4FEA" w14:textId="77777777" w:rsidR="007D6E7E" w:rsidRPr="001C5506" w:rsidRDefault="007D6E7E" w:rsidP="001C5506">
      <w:pPr>
        <w:spacing w:after="0"/>
        <w:ind w:left="720"/>
        <w:jc w:val="both"/>
        <w:rPr>
          <w:rFonts w:ascii="Arial" w:hAnsi="Arial" w:cs="Arial"/>
        </w:rPr>
      </w:pPr>
    </w:p>
    <w:p w14:paraId="45159BD3" w14:textId="77777777" w:rsidR="008A3A38" w:rsidRDefault="008A3A38" w:rsidP="008A3A38">
      <w:pPr>
        <w:pStyle w:val="ListParagraph"/>
        <w:numPr>
          <w:ilvl w:val="0"/>
          <w:numId w:val="27"/>
        </w:numPr>
        <w:spacing w:after="0"/>
        <w:jc w:val="both"/>
        <w:rPr>
          <w:rFonts w:ascii="Arial" w:hAnsi="Arial" w:cs="Arial"/>
        </w:rPr>
      </w:pPr>
      <w:r w:rsidRPr="00682FE3">
        <w:rPr>
          <w:rFonts w:ascii="Arial" w:hAnsi="Arial" w:cs="Arial"/>
        </w:rPr>
        <w:t>Section 4: Supporting economic development (includes climate cha</w:t>
      </w:r>
      <w:r>
        <w:rPr>
          <w:rFonts w:ascii="Arial" w:hAnsi="Arial" w:cs="Arial"/>
        </w:rPr>
        <w:t>nge and improving the long term</w:t>
      </w:r>
      <w:r w:rsidRPr="00682FE3">
        <w:rPr>
          <w:rFonts w:ascii="Arial" w:hAnsi="Arial" w:cs="Arial"/>
        </w:rPr>
        <w:t xml:space="preserve"> cost of service)</w:t>
      </w:r>
      <w:r>
        <w:rPr>
          <w:rFonts w:ascii="Arial" w:hAnsi="Arial" w:cs="Arial"/>
        </w:rPr>
        <w:t>.</w:t>
      </w:r>
    </w:p>
    <w:p w14:paraId="6907C2FE" w14:textId="77777777" w:rsidR="008A3A38" w:rsidRDefault="008A3A38" w:rsidP="008A3A38">
      <w:pPr>
        <w:pStyle w:val="ListParagraph"/>
        <w:spacing w:after="0"/>
        <w:jc w:val="both"/>
        <w:rPr>
          <w:rFonts w:ascii="Arial" w:hAnsi="Arial" w:cs="Arial"/>
        </w:rPr>
      </w:pPr>
    </w:p>
    <w:p w14:paraId="69D08634" w14:textId="23B27EB2" w:rsidR="008A3A38" w:rsidRDefault="008A3A38" w:rsidP="008A3A38">
      <w:pPr>
        <w:pStyle w:val="ListParagraph"/>
        <w:numPr>
          <w:ilvl w:val="0"/>
          <w:numId w:val="27"/>
        </w:numPr>
        <w:spacing w:after="0"/>
        <w:jc w:val="both"/>
        <w:rPr>
          <w:rFonts w:ascii="Arial" w:hAnsi="Arial" w:cs="Arial"/>
        </w:rPr>
      </w:pPr>
      <w:r>
        <w:rPr>
          <w:rFonts w:ascii="Arial" w:hAnsi="Arial" w:cs="Arial"/>
        </w:rPr>
        <w:t>Section 5</w:t>
      </w:r>
      <w:r w:rsidR="007014FF">
        <w:rPr>
          <w:rFonts w:ascii="Arial" w:hAnsi="Arial" w:cs="Arial"/>
        </w:rPr>
        <w:t>:</w:t>
      </w:r>
      <w:r>
        <w:rPr>
          <w:rFonts w:ascii="Arial" w:hAnsi="Arial" w:cs="Arial"/>
        </w:rPr>
        <w:t xml:space="preserve"> covers progress of </w:t>
      </w:r>
      <w:r w:rsidRPr="00682FE3">
        <w:rPr>
          <w:rFonts w:ascii="Arial" w:hAnsi="Arial" w:cs="Arial"/>
        </w:rPr>
        <w:t xml:space="preserve">projects </w:t>
      </w:r>
      <w:r>
        <w:rPr>
          <w:rFonts w:ascii="Arial" w:hAnsi="Arial" w:cs="Arial"/>
        </w:rPr>
        <w:t xml:space="preserve">due but </w:t>
      </w:r>
      <w:r w:rsidRPr="00682FE3">
        <w:rPr>
          <w:rFonts w:ascii="Arial" w:hAnsi="Arial" w:cs="Arial"/>
        </w:rPr>
        <w:t>not delivered by 31 March 2015</w:t>
      </w:r>
      <w:r>
        <w:rPr>
          <w:rFonts w:ascii="Arial" w:hAnsi="Arial" w:cs="Arial"/>
        </w:rPr>
        <w:t xml:space="preserve">. </w:t>
      </w:r>
    </w:p>
    <w:p w14:paraId="7FB9635C" w14:textId="77777777" w:rsidR="008A3A38" w:rsidRPr="00682FE3" w:rsidRDefault="008A3A38" w:rsidP="008A3A38">
      <w:pPr>
        <w:spacing w:after="0"/>
        <w:ind w:left="720"/>
        <w:jc w:val="both"/>
        <w:rPr>
          <w:rFonts w:ascii="Arial" w:hAnsi="Arial" w:cs="Arial"/>
        </w:rPr>
      </w:pPr>
    </w:p>
    <w:p w14:paraId="0625C4E6" w14:textId="77777777" w:rsidR="008A3A38" w:rsidRPr="00682FE3" w:rsidRDefault="008A3A38" w:rsidP="008A3A38">
      <w:pPr>
        <w:spacing w:after="0"/>
        <w:jc w:val="both"/>
        <w:rPr>
          <w:rFonts w:ascii="Arial" w:hAnsi="Arial" w:cs="Arial"/>
        </w:rPr>
      </w:pPr>
      <w:r w:rsidRPr="00682FE3">
        <w:rPr>
          <w:rFonts w:ascii="Arial" w:hAnsi="Arial" w:cs="Arial"/>
        </w:rPr>
        <w:t xml:space="preserve">A further set of outputs, including customer service measures, are reported annually at the end of each financial year.  </w:t>
      </w:r>
    </w:p>
    <w:p w14:paraId="71FF646C" w14:textId="77777777" w:rsidR="008A3A38" w:rsidRDefault="008A3A38" w:rsidP="008A3A38">
      <w:pPr>
        <w:spacing w:after="0"/>
        <w:jc w:val="both"/>
        <w:rPr>
          <w:rFonts w:ascii="Arial" w:hAnsi="Arial" w:cs="Arial"/>
        </w:rPr>
      </w:pPr>
    </w:p>
    <w:p w14:paraId="6DBC7E44" w14:textId="77777777" w:rsidR="008A3A38" w:rsidRDefault="008A3A38" w:rsidP="008A3A38">
      <w:pPr>
        <w:spacing w:after="0"/>
        <w:jc w:val="both"/>
        <w:rPr>
          <w:rFonts w:ascii="Arial" w:hAnsi="Arial" w:cs="Arial"/>
        </w:rPr>
      </w:pPr>
      <w:r w:rsidRPr="00FE45DB">
        <w:rPr>
          <w:rFonts w:ascii="Arial" w:hAnsi="Arial" w:cs="Arial"/>
        </w:rPr>
        <w:t xml:space="preserve">Each section explains where a programme area is </w:t>
      </w:r>
      <w:r w:rsidR="000D031D">
        <w:rPr>
          <w:rFonts w:ascii="Arial" w:hAnsi="Arial" w:cs="Arial"/>
        </w:rPr>
        <w:t xml:space="preserve">ahead or </w:t>
      </w:r>
      <w:r w:rsidRPr="00FE45DB">
        <w:rPr>
          <w:rFonts w:ascii="Arial" w:hAnsi="Arial" w:cs="Arial"/>
        </w:rPr>
        <w:t>behind and</w:t>
      </w:r>
      <w:r w:rsidR="00013D94">
        <w:rPr>
          <w:rFonts w:ascii="Arial" w:hAnsi="Arial" w:cs="Arial"/>
        </w:rPr>
        <w:t>,</w:t>
      </w:r>
      <w:r w:rsidRPr="00FE45DB">
        <w:rPr>
          <w:rFonts w:ascii="Arial" w:hAnsi="Arial" w:cs="Arial"/>
        </w:rPr>
        <w:t xml:space="preserve"> </w:t>
      </w:r>
      <w:r w:rsidR="000D031D">
        <w:rPr>
          <w:rFonts w:ascii="Arial" w:hAnsi="Arial" w:cs="Arial"/>
        </w:rPr>
        <w:t xml:space="preserve">if behind, </w:t>
      </w:r>
      <w:r w:rsidRPr="00FE45DB">
        <w:rPr>
          <w:rFonts w:ascii="Arial" w:hAnsi="Arial" w:cs="Arial"/>
        </w:rPr>
        <w:t>the remedial actions being taken by Scottish Water</w:t>
      </w:r>
      <w:r>
        <w:rPr>
          <w:rFonts w:ascii="Arial" w:hAnsi="Arial" w:cs="Arial"/>
        </w:rPr>
        <w:t>.</w:t>
      </w:r>
      <w:r w:rsidR="00134478">
        <w:rPr>
          <w:rFonts w:ascii="Arial" w:hAnsi="Arial" w:cs="Arial"/>
        </w:rPr>
        <w:t xml:space="preserve">  The forecast year end status for each programme area has been measured against Scottish Water’s Delivery Plan 2015-21 target.</w:t>
      </w:r>
      <w:r w:rsidR="00CD1FA1">
        <w:rPr>
          <w:rFonts w:ascii="Arial" w:hAnsi="Arial" w:cs="Arial"/>
        </w:rPr>
        <w:t xml:space="preserve">  </w:t>
      </w:r>
    </w:p>
    <w:p w14:paraId="7344DA6E" w14:textId="77777777" w:rsidR="00CD1FA1" w:rsidRDefault="00CD1FA1" w:rsidP="008A3A38">
      <w:pPr>
        <w:spacing w:after="0"/>
        <w:jc w:val="both"/>
        <w:rPr>
          <w:rFonts w:ascii="Arial" w:hAnsi="Arial" w:cs="Arial"/>
        </w:rPr>
      </w:pPr>
    </w:p>
    <w:p w14:paraId="337CA52C" w14:textId="77777777" w:rsidR="00727013" w:rsidRDefault="00727013" w:rsidP="00727013">
      <w:pPr>
        <w:spacing w:after="0"/>
        <w:jc w:val="both"/>
        <w:rPr>
          <w:rFonts w:ascii="Arial" w:hAnsi="Arial" w:cs="Arial"/>
        </w:rPr>
      </w:pPr>
      <w:r>
        <w:rPr>
          <w:rFonts w:ascii="Arial" w:hAnsi="Arial" w:cs="Arial"/>
        </w:rPr>
        <w:t xml:space="preserve">As noted at the OMG in September, </w:t>
      </w:r>
      <w:r w:rsidRPr="008072D0">
        <w:rPr>
          <w:rFonts w:ascii="Arial" w:hAnsi="Arial" w:cs="Arial"/>
        </w:rPr>
        <w:t xml:space="preserve">targets </w:t>
      </w:r>
      <w:r w:rsidR="00A91939">
        <w:rPr>
          <w:rFonts w:ascii="Arial" w:hAnsi="Arial" w:cs="Arial"/>
        </w:rPr>
        <w:t xml:space="preserve">are </w:t>
      </w:r>
      <w:r w:rsidRPr="008072D0">
        <w:rPr>
          <w:rFonts w:ascii="Arial" w:hAnsi="Arial" w:cs="Arial"/>
        </w:rPr>
        <w:t xml:space="preserve">agreed with Ministers through Scottish Water’s Delivery Plan </w:t>
      </w:r>
      <w:r w:rsidR="00A91939">
        <w:rPr>
          <w:rFonts w:ascii="Arial" w:hAnsi="Arial" w:cs="Arial"/>
        </w:rPr>
        <w:t xml:space="preserve">and </w:t>
      </w:r>
      <w:r>
        <w:rPr>
          <w:rFonts w:ascii="Arial" w:hAnsi="Arial" w:cs="Arial"/>
        </w:rPr>
        <w:t>reflect the year end position</w:t>
      </w:r>
      <w:r w:rsidR="00EA7A00">
        <w:rPr>
          <w:rFonts w:ascii="Arial" w:hAnsi="Arial" w:cs="Arial"/>
        </w:rPr>
        <w:t xml:space="preserve">; </w:t>
      </w:r>
      <w:r>
        <w:rPr>
          <w:rFonts w:ascii="Arial" w:hAnsi="Arial" w:cs="Arial"/>
        </w:rPr>
        <w:t xml:space="preserve">the quarterly positions provided </w:t>
      </w:r>
      <w:r w:rsidR="003366F9">
        <w:rPr>
          <w:rFonts w:ascii="Arial" w:hAnsi="Arial" w:cs="Arial"/>
        </w:rPr>
        <w:t xml:space="preserve">by </w:t>
      </w:r>
      <w:r>
        <w:rPr>
          <w:rFonts w:ascii="Arial" w:hAnsi="Arial" w:cs="Arial"/>
        </w:rPr>
        <w:t>Scottish Water</w:t>
      </w:r>
      <w:r w:rsidRPr="008072D0">
        <w:rPr>
          <w:rFonts w:ascii="Arial" w:hAnsi="Arial" w:cs="Arial"/>
        </w:rPr>
        <w:t xml:space="preserve"> </w:t>
      </w:r>
      <w:r w:rsidR="006007BC">
        <w:rPr>
          <w:rFonts w:ascii="Arial" w:hAnsi="Arial" w:cs="Arial"/>
        </w:rPr>
        <w:t xml:space="preserve">enable </w:t>
      </w:r>
      <w:r>
        <w:rPr>
          <w:rFonts w:ascii="Arial" w:hAnsi="Arial" w:cs="Arial"/>
        </w:rPr>
        <w:t>progress</w:t>
      </w:r>
      <w:r w:rsidR="006007BC">
        <w:rPr>
          <w:rFonts w:ascii="Arial" w:hAnsi="Arial" w:cs="Arial"/>
        </w:rPr>
        <w:t xml:space="preserve"> </w:t>
      </w:r>
      <w:r w:rsidR="00CE7672">
        <w:rPr>
          <w:rFonts w:ascii="Arial" w:hAnsi="Arial" w:cs="Arial"/>
        </w:rPr>
        <w:t xml:space="preserve">towards those targets </w:t>
      </w:r>
      <w:r w:rsidR="006007BC">
        <w:rPr>
          <w:rFonts w:ascii="Arial" w:hAnsi="Arial" w:cs="Arial"/>
        </w:rPr>
        <w:t>to be tracked</w:t>
      </w:r>
      <w:r>
        <w:rPr>
          <w:rFonts w:ascii="Arial" w:hAnsi="Arial" w:cs="Arial"/>
        </w:rPr>
        <w:t>.</w:t>
      </w:r>
    </w:p>
    <w:p w14:paraId="4FD96286" w14:textId="77777777" w:rsidR="00134478" w:rsidRDefault="00134478" w:rsidP="00D729E7">
      <w:pPr>
        <w:spacing w:after="0"/>
        <w:jc w:val="both"/>
        <w:rPr>
          <w:rFonts w:ascii="Arial" w:hAnsi="Arial" w:cs="Arial"/>
          <w:b/>
          <w:bCs/>
        </w:rPr>
      </w:pPr>
    </w:p>
    <w:p w14:paraId="61A58AD7" w14:textId="77777777" w:rsidR="004E6343" w:rsidRDefault="004E6343" w:rsidP="00D729E7">
      <w:pPr>
        <w:spacing w:after="0"/>
        <w:jc w:val="both"/>
        <w:rPr>
          <w:rFonts w:ascii="Arial" w:hAnsi="Arial" w:cs="Arial"/>
          <w:b/>
          <w:bCs/>
        </w:rPr>
      </w:pPr>
    </w:p>
    <w:p w14:paraId="26CC43FB" w14:textId="634CE11B" w:rsidR="00D729E7" w:rsidRDefault="00D729E7" w:rsidP="00D729E7">
      <w:pPr>
        <w:spacing w:after="0"/>
        <w:jc w:val="both"/>
        <w:rPr>
          <w:rFonts w:ascii="Arial" w:hAnsi="Arial" w:cs="Arial"/>
          <w:b/>
          <w:bCs/>
        </w:rPr>
      </w:pPr>
      <w:r>
        <w:rPr>
          <w:rFonts w:ascii="Arial" w:hAnsi="Arial" w:cs="Arial"/>
          <w:b/>
          <w:bCs/>
        </w:rPr>
        <w:lastRenderedPageBreak/>
        <w:t>1.</w:t>
      </w:r>
      <w:r w:rsidR="007D6E7E">
        <w:rPr>
          <w:rFonts w:ascii="Arial" w:hAnsi="Arial" w:cs="Arial"/>
          <w:b/>
          <w:bCs/>
        </w:rPr>
        <w:t>2</w:t>
      </w:r>
      <w:r>
        <w:rPr>
          <w:rFonts w:ascii="Arial" w:hAnsi="Arial" w:cs="Arial"/>
          <w:b/>
          <w:bCs/>
        </w:rPr>
        <w:tab/>
        <w:t>Summary</w:t>
      </w:r>
      <w:r w:rsidR="007014FF">
        <w:rPr>
          <w:rFonts w:ascii="Arial" w:hAnsi="Arial" w:cs="Arial"/>
          <w:b/>
          <w:bCs/>
        </w:rPr>
        <w:t xml:space="preserve"> </w:t>
      </w:r>
    </w:p>
    <w:p w14:paraId="0558C0EA" w14:textId="77777777" w:rsidR="00D729E7" w:rsidRDefault="00D729E7" w:rsidP="00D729E7">
      <w:pPr>
        <w:spacing w:after="0"/>
        <w:jc w:val="both"/>
        <w:rPr>
          <w:rFonts w:ascii="Arial" w:hAnsi="Arial" w:cs="Arial"/>
        </w:rPr>
      </w:pPr>
      <w:r w:rsidRPr="005F239D">
        <w:rPr>
          <w:rFonts w:ascii="Arial" w:hAnsi="Arial" w:cs="Arial"/>
        </w:rPr>
        <w:t xml:space="preserve">The key points to report </w:t>
      </w:r>
      <w:r>
        <w:rPr>
          <w:rFonts w:ascii="Arial" w:hAnsi="Arial" w:cs="Arial"/>
        </w:rPr>
        <w:t xml:space="preserve">on Scottish Water’s output delivery in the period up to the end of </w:t>
      </w:r>
      <w:r w:rsidR="003C7751">
        <w:rPr>
          <w:rFonts w:ascii="Arial" w:hAnsi="Arial" w:cs="Arial"/>
        </w:rPr>
        <w:t xml:space="preserve">December </w:t>
      </w:r>
      <w:r>
        <w:rPr>
          <w:rFonts w:ascii="Arial" w:hAnsi="Arial" w:cs="Arial"/>
        </w:rPr>
        <w:t xml:space="preserve">2015 (Quarter </w:t>
      </w:r>
      <w:r w:rsidR="003C7751">
        <w:rPr>
          <w:rFonts w:ascii="Arial" w:hAnsi="Arial" w:cs="Arial"/>
        </w:rPr>
        <w:t xml:space="preserve">3 </w:t>
      </w:r>
      <w:r>
        <w:rPr>
          <w:rFonts w:ascii="Arial" w:hAnsi="Arial" w:cs="Arial"/>
        </w:rPr>
        <w:t>2015-16) are:</w:t>
      </w:r>
    </w:p>
    <w:p w14:paraId="38ED847C" w14:textId="77777777" w:rsidR="00D729E7" w:rsidRDefault="00D729E7" w:rsidP="00D729E7">
      <w:pPr>
        <w:spacing w:after="0"/>
        <w:jc w:val="both"/>
        <w:rPr>
          <w:rFonts w:ascii="Arial" w:hAnsi="Arial" w:cs="Arial"/>
        </w:rPr>
      </w:pPr>
    </w:p>
    <w:p w14:paraId="0B005AB9" w14:textId="77777777" w:rsidR="00F026F0" w:rsidRDefault="00F026F0" w:rsidP="00F026F0">
      <w:pPr>
        <w:pStyle w:val="ListParagraph"/>
        <w:numPr>
          <w:ilvl w:val="0"/>
          <w:numId w:val="32"/>
        </w:numPr>
        <w:spacing w:after="0"/>
        <w:jc w:val="both"/>
        <w:rPr>
          <w:rFonts w:ascii="Arial" w:hAnsi="Arial" w:cs="Arial"/>
        </w:rPr>
      </w:pPr>
      <w:r>
        <w:rPr>
          <w:rFonts w:ascii="Arial" w:hAnsi="Arial" w:cs="Arial"/>
        </w:rPr>
        <w:t xml:space="preserve">The overall measure of delivery (OMD) position was </w:t>
      </w:r>
      <w:r w:rsidR="005E29E6">
        <w:rPr>
          <w:rFonts w:ascii="Arial" w:hAnsi="Arial" w:cs="Arial"/>
        </w:rPr>
        <w:t>49.</w:t>
      </w:r>
      <w:r w:rsidR="0050042C">
        <w:rPr>
          <w:rFonts w:ascii="Arial" w:hAnsi="Arial" w:cs="Arial"/>
        </w:rPr>
        <w:t>6</w:t>
      </w:r>
      <w:r>
        <w:rPr>
          <w:rFonts w:ascii="Arial" w:hAnsi="Arial" w:cs="Arial"/>
        </w:rPr>
        <w:t xml:space="preserve"> points in Quarter 3, an increase of </w:t>
      </w:r>
      <w:r w:rsidR="005E29E6">
        <w:rPr>
          <w:rFonts w:ascii="Arial" w:hAnsi="Arial" w:cs="Arial"/>
        </w:rPr>
        <w:t>8.5</w:t>
      </w:r>
      <w:r>
        <w:rPr>
          <w:rFonts w:ascii="Arial" w:hAnsi="Arial" w:cs="Arial"/>
        </w:rPr>
        <w:t xml:space="preserve"> points from the Quarter 2 position of 41.1.  The </w:t>
      </w:r>
      <w:r w:rsidR="00CD1FA1">
        <w:rPr>
          <w:rFonts w:ascii="Arial" w:hAnsi="Arial" w:cs="Arial"/>
        </w:rPr>
        <w:t xml:space="preserve">quarterly </w:t>
      </w:r>
      <w:r>
        <w:rPr>
          <w:rFonts w:ascii="Arial" w:hAnsi="Arial" w:cs="Arial"/>
        </w:rPr>
        <w:t>OM</w:t>
      </w:r>
      <w:r w:rsidR="009B47B3">
        <w:rPr>
          <w:rFonts w:ascii="Arial" w:hAnsi="Arial" w:cs="Arial"/>
        </w:rPr>
        <w:t xml:space="preserve">D </w:t>
      </w:r>
      <w:r w:rsidR="00CD1FA1">
        <w:rPr>
          <w:rFonts w:ascii="Arial" w:hAnsi="Arial" w:cs="Arial"/>
        </w:rPr>
        <w:t xml:space="preserve">position </w:t>
      </w:r>
      <w:r w:rsidR="009B47B3">
        <w:rPr>
          <w:rFonts w:ascii="Arial" w:hAnsi="Arial" w:cs="Arial"/>
        </w:rPr>
        <w:t xml:space="preserve">indicates </w:t>
      </w:r>
      <w:r w:rsidRPr="006A538B">
        <w:rPr>
          <w:rFonts w:ascii="Arial" w:hAnsi="Arial" w:cs="Arial"/>
        </w:rPr>
        <w:t>that performance has been slower than anticipated</w:t>
      </w:r>
      <w:r w:rsidR="009B47B3">
        <w:rPr>
          <w:rFonts w:ascii="Arial" w:hAnsi="Arial" w:cs="Arial"/>
        </w:rPr>
        <w:t xml:space="preserve"> </w:t>
      </w:r>
      <w:r w:rsidRPr="006A538B">
        <w:rPr>
          <w:rFonts w:ascii="Arial" w:hAnsi="Arial" w:cs="Arial"/>
        </w:rPr>
        <w:t xml:space="preserve">but </w:t>
      </w:r>
      <w:r w:rsidR="00CE7672">
        <w:rPr>
          <w:rFonts w:ascii="Arial" w:hAnsi="Arial" w:cs="Arial"/>
        </w:rPr>
        <w:t xml:space="preserve">is </w:t>
      </w:r>
      <w:r w:rsidRPr="006A538B">
        <w:rPr>
          <w:rFonts w:ascii="Arial" w:hAnsi="Arial" w:cs="Arial"/>
        </w:rPr>
        <w:t xml:space="preserve">forecast </w:t>
      </w:r>
      <w:r w:rsidR="009B47B3">
        <w:rPr>
          <w:rFonts w:ascii="Arial" w:hAnsi="Arial" w:cs="Arial"/>
        </w:rPr>
        <w:t xml:space="preserve">to </w:t>
      </w:r>
      <w:r w:rsidRPr="006A538B">
        <w:rPr>
          <w:rFonts w:ascii="Arial" w:hAnsi="Arial" w:cs="Arial"/>
        </w:rPr>
        <w:t>recover and be within the target range at March 2016.</w:t>
      </w:r>
    </w:p>
    <w:p w14:paraId="27A51E3C" w14:textId="77777777" w:rsidR="00F026F0" w:rsidRPr="00AD7AC2" w:rsidRDefault="00F026F0" w:rsidP="00F026F0">
      <w:pPr>
        <w:pStyle w:val="ListParagraph"/>
        <w:spacing w:after="0"/>
        <w:jc w:val="both"/>
        <w:rPr>
          <w:rFonts w:ascii="Arial" w:hAnsi="Arial" w:cs="Arial"/>
          <w:sz w:val="16"/>
          <w:szCs w:val="16"/>
        </w:rPr>
      </w:pPr>
    </w:p>
    <w:p w14:paraId="10AF7579" w14:textId="62E889FE" w:rsidR="00D80137" w:rsidRPr="00134478" w:rsidRDefault="00D80137" w:rsidP="00D80137">
      <w:pPr>
        <w:pStyle w:val="ListParagraph"/>
        <w:numPr>
          <w:ilvl w:val="0"/>
          <w:numId w:val="32"/>
        </w:numPr>
        <w:spacing w:after="0"/>
        <w:jc w:val="both"/>
        <w:rPr>
          <w:rFonts w:ascii="Arial" w:hAnsi="Arial" w:cs="Arial"/>
          <w:sz w:val="16"/>
          <w:szCs w:val="16"/>
        </w:rPr>
      </w:pPr>
      <w:r w:rsidRPr="00134478">
        <w:rPr>
          <w:rFonts w:ascii="Arial" w:hAnsi="Arial" w:cs="Arial"/>
        </w:rPr>
        <w:t xml:space="preserve">Providing continuous high quality drinking water: </w:t>
      </w:r>
      <w:r w:rsidR="00E81D5A">
        <w:rPr>
          <w:rFonts w:ascii="Arial" w:hAnsi="Arial" w:cs="Arial"/>
        </w:rPr>
        <w:t>o</w:t>
      </w:r>
      <w:r>
        <w:rPr>
          <w:rFonts w:ascii="Arial" w:hAnsi="Arial" w:cs="Arial"/>
        </w:rPr>
        <w:t>f the ten output programmes in this category</w:t>
      </w:r>
      <w:r w:rsidR="001025DA">
        <w:rPr>
          <w:rFonts w:ascii="Arial" w:hAnsi="Arial" w:cs="Arial"/>
        </w:rPr>
        <w:t xml:space="preserve"> at the year-end:</w:t>
      </w:r>
      <w:r>
        <w:rPr>
          <w:rFonts w:ascii="Arial" w:hAnsi="Arial" w:cs="Arial"/>
        </w:rPr>
        <w:t xml:space="preserve"> 2 are </w:t>
      </w:r>
      <w:r w:rsidR="001025DA">
        <w:rPr>
          <w:rFonts w:ascii="Arial" w:hAnsi="Arial" w:cs="Arial"/>
        </w:rPr>
        <w:t xml:space="preserve">forecast to be </w:t>
      </w:r>
      <w:r w:rsidR="006B4A0E">
        <w:rPr>
          <w:rFonts w:ascii="Arial" w:hAnsi="Arial" w:cs="Arial"/>
        </w:rPr>
        <w:t xml:space="preserve">on or </w:t>
      </w:r>
      <w:r>
        <w:rPr>
          <w:rFonts w:ascii="Arial" w:hAnsi="Arial" w:cs="Arial"/>
        </w:rPr>
        <w:t xml:space="preserve">ahead of target, 6 are underway but not expected to deliver outputs this year, 1 will be behind target at </w:t>
      </w:r>
      <w:r w:rsidR="004405E2">
        <w:rPr>
          <w:rFonts w:ascii="Arial" w:hAnsi="Arial" w:cs="Arial"/>
        </w:rPr>
        <w:t xml:space="preserve">the </w:t>
      </w:r>
      <w:r>
        <w:rPr>
          <w:rFonts w:ascii="Arial" w:hAnsi="Arial" w:cs="Arial"/>
        </w:rPr>
        <w:t>year end and a further 1 is at risk of falling behind target.</w:t>
      </w:r>
    </w:p>
    <w:p w14:paraId="363A6CEA" w14:textId="77777777" w:rsidR="00D80137" w:rsidRPr="00134478" w:rsidRDefault="00D80137" w:rsidP="00D80137">
      <w:pPr>
        <w:spacing w:after="0"/>
        <w:jc w:val="both"/>
        <w:rPr>
          <w:rFonts w:ascii="Arial" w:hAnsi="Arial" w:cs="Arial"/>
          <w:sz w:val="16"/>
          <w:szCs w:val="16"/>
        </w:rPr>
      </w:pPr>
    </w:p>
    <w:p w14:paraId="7A710B32" w14:textId="1CDE8557" w:rsidR="00D80137" w:rsidRDefault="00D80137" w:rsidP="00D80137">
      <w:pPr>
        <w:pStyle w:val="ListParagraph"/>
        <w:numPr>
          <w:ilvl w:val="0"/>
          <w:numId w:val="32"/>
        </w:numPr>
        <w:spacing w:after="0"/>
        <w:jc w:val="both"/>
        <w:rPr>
          <w:rFonts w:ascii="Arial" w:hAnsi="Arial" w:cs="Arial"/>
        </w:rPr>
      </w:pPr>
      <w:r>
        <w:rPr>
          <w:rFonts w:ascii="Arial" w:hAnsi="Arial" w:cs="Arial"/>
        </w:rPr>
        <w:t xml:space="preserve">Protecting and enhancing the environment: </w:t>
      </w:r>
      <w:r w:rsidR="00E81D5A">
        <w:rPr>
          <w:rFonts w:ascii="Arial" w:hAnsi="Arial" w:cs="Arial"/>
        </w:rPr>
        <w:t>o</w:t>
      </w:r>
      <w:r>
        <w:rPr>
          <w:rFonts w:ascii="Arial" w:hAnsi="Arial" w:cs="Arial"/>
        </w:rPr>
        <w:t>f the ten output programmes in this category</w:t>
      </w:r>
      <w:r w:rsidR="001025DA">
        <w:rPr>
          <w:rFonts w:ascii="Arial" w:hAnsi="Arial" w:cs="Arial"/>
        </w:rPr>
        <w:t xml:space="preserve"> at the year-end:</w:t>
      </w:r>
      <w:r>
        <w:rPr>
          <w:rFonts w:ascii="Arial" w:hAnsi="Arial" w:cs="Arial"/>
        </w:rPr>
        <w:t xml:space="preserve"> 4 are </w:t>
      </w:r>
      <w:r w:rsidR="001025DA">
        <w:rPr>
          <w:rFonts w:ascii="Arial" w:hAnsi="Arial" w:cs="Arial"/>
        </w:rPr>
        <w:t xml:space="preserve">forecast to be </w:t>
      </w:r>
      <w:r>
        <w:rPr>
          <w:rFonts w:ascii="Arial" w:hAnsi="Arial" w:cs="Arial"/>
        </w:rPr>
        <w:t xml:space="preserve">ahead of target, 3 are underway but not expected to deliver outputs this year, 2 will be behind target at </w:t>
      </w:r>
      <w:r w:rsidR="004405E2">
        <w:rPr>
          <w:rFonts w:ascii="Arial" w:hAnsi="Arial" w:cs="Arial"/>
        </w:rPr>
        <w:t xml:space="preserve">the </w:t>
      </w:r>
      <w:r>
        <w:rPr>
          <w:rFonts w:ascii="Arial" w:hAnsi="Arial" w:cs="Arial"/>
        </w:rPr>
        <w:t xml:space="preserve">year end and a further 1 is at risk of falling behind target. </w:t>
      </w:r>
    </w:p>
    <w:p w14:paraId="5DC77439" w14:textId="77777777" w:rsidR="00D80137" w:rsidRPr="00BF4C5A" w:rsidRDefault="00D80137" w:rsidP="00D80137">
      <w:pPr>
        <w:spacing w:after="0"/>
        <w:jc w:val="both"/>
        <w:rPr>
          <w:rFonts w:ascii="Arial" w:hAnsi="Arial" w:cs="Arial"/>
          <w:sz w:val="16"/>
          <w:szCs w:val="16"/>
        </w:rPr>
      </w:pPr>
    </w:p>
    <w:p w14:paraId="47C2A0AC" w14:textId="76B7A6C2" w:rsidR="00D80137" w:rsidRPr="00BF4C5A" w:rsidRDefault="00D80137" w:rsidP="00D80137">
      <w:pPr>
        <w:pStyle w:val="ListParagraph"/>
        <w:numPr>
          <w:ilvl w:val="0"/>
          <w:numId w:val="32"/>
        </w:numPr>
        <w:spacing w:after="0"/>
        <w:jc w:val="both"/>
        <w:rPr>
          <w:rFonts w:ascii="Arial" w:hAnsi="Arial" w:cs="Arial"/>
        </w:rPr>
      </w:pPr>
      <w:r>
        <w:rPr>
          <w:rFonts w:ascii="Arial" w:hAnsi="Arial" w:cs="Arial"/>
        </w:rPr>
        <w:t xml:space="preserve">Supporting economic development: </w:t>
      </w:r>
      <w:r w:rsidR="00E81D5A">
        <w:rPr>
          <w:rFonts w:ascii="Arial" w:hAnsi="Arial" w:cs="Arial"/>
        </w:rPr>
        <w:t>o</w:t>
      </w:r>
      <w:r>
        <w:rPr>
          <w:rFonts w:ascii="Arial" w:hAnsi="Arial" w:cs="Arial"/>
        </w:rPr>
        <w:t>f the six output programmes in this category</w:t>
      </w:r>
      <w:r w:rsidR="001025DA">
        <w:rPr>
          <w:rFonts w:ascii="Arial" w:hAnsi="Arial" w:cs="Arial"/>
        </w:rPr>
        <w:t xml:space="preserve"> at the year-end:</w:t>
      </w:r>
      <w:r>
        <w:rPr>
          <w:rFonts w:ascii="Arial" w:hAnsi="Arial" w:cs="Arial"/>
        </w:rPr>
        <w:t xml:space="preserve"> 1 is ahead of target, 3 are underway but demand driven, 1 will be behind target at </w:t>
      </w:r>
      <w:r w:rsidR="004405E2">
        <w:rPr>
          <w:rFonts w:ascii="Arial" w:hAnsi="Arial" w:cs="Arial"/>
        </w:rPr>
        <w:t xml:space="preserve">the </w:t>
      </w:r>
      <w:r>
        <w:rPr>
          <w:rFonts w:ascii="Arial" w:hAnsi="Arial" w:cs="Arial"/>
        </w:rPr>
        <w:t>year end and a further 1 is at risk of falling behind target.</w:t>
      </w:r>
    </w:p>
    <w:p w14:paraId="364FB669" w14:textId="77777777" w:rsidR="00F026F0" w:rsidRPr="004303EE" w:rsidRDefault="00F026F0">
      <w:pPr>
        <w:pStyle w:val="ListParagraph"/>
        <w:spacing w:after="0"/>
        <w:jc w:val="both"/>
        <w:rPr>
          <w:rFonts w:ascii="Arial" w:hAnsi="Arial" w:cs="Arial"/>
          <w:sz w:val="16"/>
          <w:szCs w:val="16"/>
        </w:rPr>
      </w:pPr>
    </w:p>
    <w:p w14:paraId="2B15A54D" w14:textId="0175D4C1" w:rsidR="00F026F0" w:rsidRDefault="00F026F0" w:rsidP="00F026F0">
      <w:pPr>
        <w:pStyle w:val="ListParagraph"/>
        <w:numPr>
          <w:ilvl w:val="0"/>
          <w:numId w:val="32"/>
        </w:numPr>
        <w:spacing w:after="0"/>
        <w:jc w:val="both"/>
        <w:rPr>
          <w:rFonts w:ascii="Arial" w:hAnsi="Arial" w:cs="Arial"/>
        </w:rPr>
      </w:pPr>
      <w:r>
        <w:rPr>
          <w:rFonts w:ascii="Arial" w:hAnsi="Arial" w:cs="Arial"/>
        </w:rPr>
        <w:t xml:space="preserve">Projects due to have been completed by March 2015: </w:t>
      </w:r>
      <w:r w:rsidR="0044774B">
        <w:rPr>
          <w:rFonts w:ascii="Arial" w:hAnsi="Arial" w:cs="Arial"/>
        </w:rPr>
        <w:t xml:space="preserve">by </w:t>
      </w:r>
      <w:r>
        <w:rPr>
          <w:rFonts w:ascii="Arial" w:hAnsi="Arial" w:cs="Arial"/>
        </w:rPr>
        <w:t xml:space="preserve">Quarter </w:t>
      </w:r>
      <w:r w:rsidR="00F81C38">
        <w:rPr>
          <w:rFonts w:ascii="Arial" w:hAnsi="Arial" w:cs="Arial"/>
        </w:rPr>
        <w:t>3</w:t>
      </w:r>
      <w:r>
        <w:rPr>
          <w:rFonts w:ascii="Arial" w:hAnsi="Arial" w:cs="Arial"/>
        </w:rPr>
        <w:t xml:space="preserve"> Scottish Water ha</w:t>
      </w:r>
      <w:r w:rsidR="0044774B">
        <w:rPr>
          <w:rFonts w:ascii="Arial" w:hAnsi="Arial" w:cs="Arial"/>
        </w:rPr>
        <w:t>d</w:t>
      </w:r>
      <w:r>
        <w:rPr>
          <w:rFonts w:ascii="Arial" w:hAnsi="Arial" w:cs="Arial"/>
        </w:rPr>
        <w:t xml:space="preserve"> completed </w:t>
      </w:r>
      <w:r w:rsidR="005E29E6">
        <w:rPr>
          <w:rFonts w:ascii="Arial" w:hAnsi="Arial" w:cs="Arial"/>
        </w:rPr>
        <w:t>1</w:t>
      </w:r>
      <w:r w:rsidR="00345C75">
        <w:rPr>
          <w:rFonts w:ascii="Arial" w:hAnsi="Arial" w:cs="Arial"/>
        </w:rPr>
        <w:t>1</w:t>
      </w:r>
      <w:r>
        <w:rPr>
          <w:rFonts w:ascii="Arial" w:hAnsi="Arial" w:cs="Arial"/>
        </w:rPr>
        <w:t xml:space="preserve"> of the 37 projects that were outstanding at March 2015, against a </w:t>
      </w:r>
      <w:r w:rsidR="0044774B">
        <w:rPr>
          <w:rFonts w:ascii="Arial" w:hAnsi="Arial" w:cs="Arial"/>
        </w:rPr>
        <w:t xml:space="preserve">baseline </w:t>
      </w:r>
      <w:r>
        <w:rPr>
          <w:rFonts w:ascii="Arial" w:hAnsi="Arial" w:cs="Arial"/>
        </w:rPr>
        <w:t xml:space="preserve">of </w:t>
      </w:r>
      <w:r w:rsidR="005E29E6">
        <w:rPr>
          <w:rFonts w:ascii="Arial" w:hAnsi="Arial" w:cs="Arial"/>
        </w:rPr>
        <w:t>23</w:t>
      </w:r>
      <w:r w:rsidRPr="000C129D">
        <w:rPr>
          <w:rFonts w:ascii="Arial" w:hAnsi="Arial" w:cs="Arial"/>
        </w:rPr>
        <w:t xml:space="preserve">.  </w:t>
      </w:r>
      <w:r w:rsidR="00303CAB" w:rsidRPr="000C129D">
        <w:rPr>
          <w:rFonts w:ascii="Arial" w:hAnsi="Arial" w:cs="Arial"/>
        </w:rPr>
        <w:t>T</w:t>
      </w:r>
      <w:r w:rsidR="000C129D" w:rsidRPr="000C129D">
        <w:rPr>
          <w:rFonts w:ascii="Arial" w:hAnsi="Arial" w:cs="Arial"/>
        </w:rPr>
        <w:t xml:space="preserve">hree </w:t>
      </w:r>
      <w:r w:rsidR="00BE1174">
        <w:rPr>
          <w:rFonts w:ascii="Arial" w:hAnsi="Arial" w:cs="Arial"/>
        </w:rPr>
        <w:t xml:space="preserve">further </w:t>
      </w:r>
      <w:r w:rsidR="00303CAB" w:rsidRPr="000C129D">
        <w:rPr>
          <w:rFonts w:ascii="Arial" w:hAnsi="Arial" w:cs="Arial"/>
        </w:rPr>
        <w:t xml:space="preserve">projects </w:t>
      </w:r>
      <w:r w:rsidR="00303CAB">
        <w:rPr>
          <w:rFonts w:ascii="Arial" w:hAnsi="Arial" w:cs="Arial"/>
        </w:rPr>
        <w:t xml:space="preserve">achieved regulatory sign-off </w:t>
      </w:r>
      <w:r w:rsidR="00BE1174">
        <w:rPr>
          <w:rFonts w:ascii="Arial" w:hAnsi="Arial" w:cs="Arial"/>
        </w:rPr>
        <w:t>by the end of February</w:t>
      </w:r>
      <w:r w:rsidR="00303CAB">
        <w:rPr>
          <w:rFonts w:ascii="Arial" w:hAnsi="Arial" w:cs="Arial"/>
        </w:rPr>
        <w:t xml:space="preserve"> and </w:t>
      </w:r>
      <w:r w:rsidRPr="00957A51">
        <w:rPr>
          <w:rFonts w:ascii="Arial" w:hAnsi="Arial" w:cs="Arial"/>
        </w:rPr>
        <w:t xml:space="preserve">Scottish Water forecasts that </w:t>
      </w:r>
      <w:r w:rsidR="0044774B">
        <w:rPr>
          <w:rFonts w:ascii="Arial" w:hAnsi="Arial" w:cs="Arial"/>
        </w:rPr>
        <w:t>between 21 to 25</w:t>
      </w:r>
      <w:r w:rsidR="00615A04" w:rsidRPr="00957A51">
        <w:rPr>
          <w:rFonts w:ascii="Arial" w:hAnsi="Arial" w:cs="Arial"/>
        </w:rPr>
        <w:t xml:space="preserve"> </w:t>
      </w:r>
      <w:r w:rsidRPr="00957A51">
        <w:rPr>
          <w:rFonts w:ascii="Arial" w:hAnsi="Arial" w:cs="Arial"/>
        </w:rPr>
        <w:t>outputs will achieve regulatory sign-off by March 2016</w:t>
      </w:r>
      <w:r w:rsidR="00303CAB">
        <w:rPr>
          <w:rFonts w:ascii="Arial" w:hAnsi="Arial" w:cs="Arial"/>
        </w:rPr>
        <w:t>,</w:t>
      </w:r>
      <w:r w:rsidRPr="00957A51">
        <w:rPr>
          <w:rFonts w:ascii="Arial" w:hAnsi="Arial" w:cs="Arial"/>
        </w:rPr>
        <w:t xml:space="preserve"> against a Delivery Plan target of 28.</w:t>
      </w:r>
    </w:p>
    <w:p w14:paraId="78733590" w14:textId="77777777" w:rsidR="00D729E7" w:rsidRPr="00E42608" w:rsidRDefault="003C7751" w:rsidP="00BF50E9">
      <w:pPr>
        <w:spacing w:after="0"/>
        <w:jc w:val="both"/>
        <w:rPr>
          <w:rFonts w:ascii="Arial" w:hAnsi="Arial" w:cs="Arial"/>
          <w:sz w:val="16"/>
          <w:szCs w:val="16"/>
        </w:rPr>
      </w:pPr>
      <w:r>
        <w:rPr>
          <w:rFonts w:ascii="Arial" w:hAnsi="Arial" w:cs="Arial"/>
        </w:rPr>
        <w:t xml:space="preserve"> </w:t>
      </w:r>
    </w:p>
    <w:p w14:paraId="76DAD729" w14:textId="00D94322" w:rsidR="00757FEA" w:rsidRDefault="001D736B" w:rsidP="00757FEA">
      <w:pPr>
        <w:spacing w:after="0"/>
        <w:jc w:val="both"/>
        <w:rPr>
          <w:rFonts w:ascii="Arial" w:hAnsi="Arial" w:cs="Arial"/>
        </w:rPr>
      </w:pPr>
      <w:r>
        <w:rPr>
          <w:rFonts w:ascii="Arial" w:hAnsi="Arial" w:cs="Arial"/>
        </w:rPr>
        <w:t>The OMG has noted that o</w:t>
      </w:r>
      <w:r w:rsidR="00757FEA" w:rsidRPr="00C65DDF">
        <w:rPr>
          <w:rFonts w:ascii="Arial" w:hAnsi="Arial" w:cs="Arial"/>
        </w:rPr>
        <w:t xml:space="preserve">verall delivery </w:t>
      </w:r>
      <w:r w:rsidR="000904C4">
        <w:rPr>
          <w:rFonts w:ascii="Arial" w:hAnsi="Arial" w:cs="Arial"/>
        </w:rPr>
        <w:t>is</w:t>
      </w:r>
      <w:r w:rsidR="00757FEA">
        <w:rPr>
          <w:rFonts w:ascii="Arial" w:hAnsi="Arial" w:cs="Arial"/>
        </w:rPr>
        <w:t xml:space="preserve"> slower than expected, largely as a </w:t>
      </w:r>
      <w:r w:rsidR="00757FEA" w:rsidRPr="00C65DDF">
        <w:rPr>
          <w:rFonts w:ascii="Arial" w:hAnsi="Arial" w:cs="Arial"/>
        </w:rPr>
        <w:t>result of</w:t>
      </w:r>
      <w:r w:rsidR="00757FEA">
        <w:rPr>
          <w:rFonts w:ascii="Arial" w:hAnsi="Arial" w:cs="Arial"/>
        </w:rPr>
        <w:t>:</w:t>
      </w:r>
    </w:p>
    <w:p w14:paraId="447D37DB" w14:textId="77777777" w:rsidR="00757FEA" w:rsidRPr="006A7FC8" w:rsidRDefault="00757FEA" w:rsidP="00757FEA">
      <w:pPr>
        <w:spacing w:after="0"/>
        <w:jc w:val="both"/>
        <w:rPr>
          <w:rFonts w:ascii="Arial" w:hAnsi="Arial" w:cs="Arial"/>
          <w:sz w:val="16"/>
          <w:szCs w:val="16"/>
        </w:rPr>
      </w:pPr>
    </w:p>
    <w:p w14:paraId="12D49F0F" w14:textId="77777777" w:rsidR="004E6343" w:rsidRDefault="00E90D02" w:rsidP="00757FEA">
      <w:pPr>
        <w:pStyle w:val="ListParagraph"/>
        <w:numPr>
          <w:ilvl w:val="0"/>
          <w:numId w:val="34"/>
        </w:numPr>
        <w:spacing w:after="0"/>
        <w:jc w:val="both"/>
        <w:rPr>
          <w:rFonts w:ascii="Arial" w:hAnsi="Arial" w:cs="Arial"/>
        </w:rPr>
      </w:pPr>
      <w:r>
        <w:rPr>
          <w:rFonts w:ascii="Arial" w:hAnsi="Arial" w:cs="Arial"/>
        </w:rPr>
        <w:t xml:space="preserve">the </w:t>
      </w:r>
      <w:r w:rsidR="00757FEA" w:rsidRPr="00094B39">
        <w:rPr>
          <w:rFonts w:ascii="Arial" w:hAnsi="Arial" w:cs="Arial"/>
        </w:rPr>
        <w:t>additional time taken to promote projects to delivery</w:t>
      </w:r>
      <w:r>
        <w:rPr>
          <w:rFonts w:ascii="Arial" w:hAnsi="Arial" w:cs="Arial"/>
        </w:rPr>
        <w:t xml:space="preserve"> </w:t>
      </w:r>
      <w:r w:rsidR="00757FEA" w:rsidRPr="00094B39">
        <w:rPr>
          <w:rFonts w:ascii="Arial" w:hAnsi="Arial" w:cs="Arial"/>
        </w:rPr>
        <w:t xml:space="preserve">through Scottish Water’s new Intervention Definition Process to ensure </w:t>
      </w:r>
      <w:r w:rsidR="00F6700E">
        <w:rPr>
          <w:rFonts w:ascii="Arial" w:hAnsi="Arial" w:cs="Arial"/>
        </w:rPr>
        <w:t>they</w:t>
      </w:r>
      <w:r w:rsidR="00757FEA" w:rsidRPr="00094B39">
        <w:rPr>
          <w:rFonts w:ascii="Arial" w:hAnsi="Arial" w:cs="Arial"/>
        </w:rPr>
        <w:t xml:space="preserve"> have been scoped correctly;</w:t>
      </w:r>
    </w:p>
    <w:p w14:paraId="01E6B568" w14:textId="77777777" w:rsidR="00757FEA" w:rsidRPr="00DD37A7" w:rsidRDefault="00F6700E" w:rsidP="00DD37A7">
      <w:pPr>
        <w:pStyle w:val="ListParagraph"/>
        <w:numPr>
          <w:ilvl w:val="0"/>
          <w:numId w:val="34"/>
        </w:numPr>
        <w:spacing w:after="0"/>
        <w:jc w:val="both"/>
        <w:rPr>
          <w:rFonts w:ascii="Arial" w:hAnsi="Arial" w:cs="Arial"/>
        </w:rPr>
      </w:pPr>
      <w:r w:rsidRPr="00DD37A7">
        <w:rPr>
          <w:rFonts w:ascii="Arial" w:hAnsi="Arial" w:cs="Arial"/>
        </w:rPr>
        <w:t xml:space="preserve">the time taken to establish </w:t>
      </w:r>
      <w:r w:rsidR="00E90D02" w:rsidRPr="00DD37A7">
        <w:rPr>
          <w:rFonts w:ascii="Arial" w:hAnsi="Arial" w:cs="Arial"/>
        </w:rPr>
        <w:t xml:space="preserve">Scottish Water’s </w:t>
      </w:r>
      <w:r w:rsidR="00757FEA" w:rsidRPr="00DD37A7">
        <w:rPr>
          <w:rFonts w:ascii="Arial" w:hAnsi="Arial" w:cs="Arial"/>
        </w:rPr>
        <w:t>new investment processes and delivery partners</w:t>
      </w:r>
      <w:r w:rsidR="004E6343">
        <w:rPr>
          <w:rFonts w:ascii="Arial" w:hAnsi="Arial" w:cs="Arial"/>
        </w:rPr>
        <w:t>; and</w:t>
      </w:r>
    </w:p>
    <w:p w14:paraId="0AC9F7AE" w14:textId="77777777" w:rsidR="007D704C" w:rsidRPr="00CF69B0" w:rsidRDefault="00001B05" w:rsidP="00757FEA">
      <w:pPr>
        <w:pStyle w:val="ListParagraph"/>
        <w:numPr>
          <w:ilvl w:val="0"/>
          <w:numId w:val="34"/>
        </w:numPr>
        <w:spacing w:after="0"/>
        <w:jc w:val="both"/>
        <w:rPr>
          <w:rFonts w:ascii="Arial" w:hAnsi="Arial" w:cs="Arial"/>
        </w:rPr>
      </w:pPr>
      <w:r>
        <w:rPr>
          <w:rFonts w:ascii="Arial" w:hAnsi="Arial" w:cs="Arial"/>
        </w:rPr>
        <w:t xml:space="preserve">delivery forecasts that did not incorporate sufficient </w:t>
      </w:r>
      <w:r w:rsidR="00441F25">
        <w:rPr>
          <w:rFonts w:ascii="Arial" w:hAnsi="Arial" w:cs="Arial"/>
        </w:rPr>
        <w:t xml:space="preserve">allowance for </w:t>
      </w:r>
      <w:r>
        <w:rPr>
          <w:rFonts w:ascii="Arial" w:hAnsi="Arial" w:cs="Arial"/>
        </w:rPr>
        <w:t>risk</w:t>
      </w:r>
      <w:r w:rsidR="00AF6B53">
        <w:rPr>
          <w:rFonts w:ascii="Arial" w:hAnsi="Arial" w:cs="Arial"/>
        </w:rPr>
        <w:t>.</w:t>
      </w:r>
    </w:p>
    <w:p w14:paraId="012F77BA" w14:textId="77777777" w:rsidR="00757FEA" w:rsidRDefault="00757FEA" w:rsidP="00757FEA">
      <w:pPr>
        <w:spacing w:after="0"/>
        <w:jc w:val="both"/>
        <w:rPr>
          <w:rFonts w:ascii="Arial" w:hAnsi="Arial" w:cs="Arial"/>
          <w:sz w:val="20"/>
          <w:szCs w:val="20"/>
        </w:rPr>
      </w:pPr>
    </w:p>
    <w:p w14:paraId="1510D6CE" w14:textId="135E7CEC" w:rsidR="00757FEA" w:rsidRDefault="0056413E">
      <w:pPr>
        <w:spacing w:after="0"/>
        <w:jc w:val="both"/>
        <w:rPr>
          <w:rFonts w:ascii="Arial" w:hAnsi="Arial" w:cs="Arial"/>
        </w:rPr>
      </w:pPr>
      <w:r>
        <w:rPr>
          <w:rFonts w:ascii="Arial" w:hAnsi="Arial" w:cs="Arial"/>
        </w:rPr>
        <w:t xml:space="preserve">Working with the OMG stakeholders, </w:t>
      </w:r>
      <w:r w:rsidR="00F6700E">
        <w:rPr>
          <w:rFonts w:ascii="Arial" w:hAnsi="Arial" w:cs="Arial"/>
        </w:rPr>
        <w:t xml:space="preserve">Scottish Water has undertaken a </w:t>
      </w:r>
      <w:r w:rsidR="006C020A">
        <w:rPr>
          <w:rFonts w:ascii="Arial" w:hAnsi="Arial" w:cs="Arial"/>
        </w:rPr>
        <w:t xml:space="preserve">thorough </w:t>
      </w:r>
      <w:r w:rsidR="00F6700E">
        <w:rPr>
          <w:rFonts w:ascii="Arial" w:hAnsi="Arial" w:cs="Arial"/>
        </w:rPr>
        <w:t xml:space="preserve">review of </w:t>
      </w:r>
      <w:r w:rsidR="00E5165F">
        <w:rPr>
          <w:rFonts w:ascii="Arial" w:hAnsi="Arial" w:cs="Arial"/>
        </w:rPr>
        <w:t>its</w:t>
      </w:r>
      <w:r w:rsidR="00F6700E">
        <w:rPr>
          <w:rFonts w:ascii="Arial" w:hAnsi="Arial" w:cs="Arial"/>
        </w:rPr>
        <w:t xml:space="preserve"> investment programme </w:t>
      </w:r>
      <w:r w:rsidR="006C020A">
        <w:rPr>
          <w:rFonts w:ascii="Arial" w:hAnsi="Arial" w:cs="Arial"/>
        </w:rPr>
        <w:t xml:space="preserve">to understand better programme risk </w:t>
      </w:r>
      <w:r w:rsidR="00F6700E">
        <w:rPr>
          <w:rFonts w:ascii="Arial" w:hAnsi="Arial" w:cs="Arial"/>
        </w:rPr>
        <w:t xml:space="preserve">and </w:t>
      </w:r>
      <w:r w:rsidR="001703E6">
        <w:rPr>
          <w:rFonts w:ascii="Arial" w:hAnsi="Arial" w:cs="Arial"/>
        </w:rPr>
        <w:t xml:space="preserve">is </w:t>
      </w:r>
      <w:r w:rsidR="00F6700E">
        <w:rPr>
          <w:rFonts w:ascii="Arial" w:hAnsi="Arial" w:cs="Arial"/>
        </w:rPr>
        <w:t>propos</w:t>
      </w:r>
      <w:r w:rsidR="001703E6">
        <w:rPr>
          <w:rFonts w:ascii="Arial" w:hAnsi="Arial" w:cs="Arial"/>
        </w:rPr>
        <w:t>ing</w:t>
      </w:r>
      <w:r w:rsidR="00F6700E">
        <w:rPr>
          <w:rFonts w:ascii="Arial" w:hAnsi="Arial" w:cs="Arial"/>
        </w:rPr>
        <w:t xml:space="preserve"> revisions to the target delivery profile for each programme area</w:t>
      </w:r>
      <w:r w:rsidR="00BC5A59">
        <w:rPr>
          <w:rFonts w:ascii="Arial" w:hAnsi="Arial" w:cs="Arial"/>
        </w:rPr>
        <w:t xml:space="preserve"> as part of its </w:t>
      </w:r>
      <w:r w:rsidR="007014FF">
        <w:rPr>
          <w:rFonts w:ascii="Arial" w:hAnsi="Arial" w:cs="Arial"/>
        </w:rPr>
        <w:t xml:space="preserve">annual </w:t>
      </w:r>
      <w:r w:rsidR="00BC5A59">
        <w:rPr>
          <w:rFonts w:ascii="Arial" w:hAnsi="Arial" w:cs="Arial"/>
        </w:rPr>
        <w:t xml:space="preserve">Delivery Plan </w:t>
      </w:r>
      <w:r w:rsidR="007014FF">
        <w:rPr>
          <w:rFonts w:ascii="Arial" w:hAnsi="Arial" w:cs="Arial"/>
        </w:rPr>
        <w:t>update</w:t>
      </w:r>
      <w:r w:rsidR="00BC5A59">
        <w:rPr>
          <w:rFonts w:ascii="Arial" w:hAnsi="Arial" w:cs="Arial"/>
        </w:rPr>
        <w:t xml:space="preserve"> to Scottish Ministers</w:t>
      </w:r>
      <w:r w:rsidR="00F6700E">
        <w:rPr>
          <w:rFonts w:ascii="Arial" w:hAnsi="Arial" w:cs="Arial"/>
        </w:rPr>
        <w:t>.</w:t>
      </w:r>
      <w:r w:rsidR="00E9676A">
        <w:rPr>
          <w:rFonts w:ascii="Arial" w:hAnsi="Arial" w:cs="Arial"/>
        </w:rPr>
        <w:t xml:space="preserve"> </w:t>
      </w:r>
      <w:r w:rsidR="00F6700E">
        <w:rPr>
          <w:rFonts w:ascii="Arial" w:hAnsi="Arial" w:cs="Arial"/>
        </w:rPr>
        <w:t xml:space="preserve"> </w:t>
      </w:r>
    </w:p>
    <w:p w14:paraId="420D68EB" w14:textId="77777777" w:rsidR="00757FEA" w:rsidRDefault="00757FEA" w:rsidP="00BF50E9">
      <w:pPr>
        <w:spacing w:after="0"/>
        <w:jc w:val="both"/>
        <w:rPr>
          <w:rFonts w:ascii="Arial" w:hAnsi="Arial" w:cs="Arial"/>
        </w:rPr>
      </w:pPr>
    </w:p>
    <w:p w14:paraId="177ED3C3" w14:textId="77777777" w:rsidR="00102A33" w:rsidRPr="007E4460" w:rsidRDefault="00102A33" w:rsidP="00102A33">
      <w:pPr>
        <w:spacing w:after="0"/>
        <w:jc w:val="both"/>
        <w:rPr>
          <w:rFonts w:ascii="Arial" w:hAnsi="Arial" w:cs="Arial"/>
          <w:b/>
        </w:rPr>
      </w:pPr>
      <w:r w:rsidRPr="0044774B">
        <w:rPr>
          <w:rFonts w:ascii="Arial" w:hAnsi="Arial" w:cs="Arial"/>
          <w:b/>
        </w:rPr>
        <w:t>1.</w:t>
      </w:r>
      <w:r w:rsidR="00D729E7" w:rsidRPr="007274BE">
        <w:rPr>
          <w:rFonts w:ascii="Arial" w:hAnsi="Arial" w:cs="Arial"/>
          <w:b/>
        </w:rPr>
        <w:t>3</w:t>
      </w:r>
      <w:r w:rsidRPr="007274BE">
        <w:rPr>
          <w:rFonts w:ascii="Arial" w:hAnsi="Arial" w:cs="Arial"/>
          <w:b/>
        </w:rPr>
        <w:tab/>
      </w:r>
      <w:r w:rsidRPr="00E42608">
        <w:rPr>
          <w:rFonts w:ascii="Arial" w:hAnsi="Arial" w:cs="Arial"/>
          <w:b/>
        </w:rPr>
        <w:t>Overall Measure of Delivery (OMD)</w:t>
      </w:r>
    </w:p>
    <w:p w14:paraId="778E9FAD" w14:textId="77777777" w:rsidR="00D867A4" w:rsidRDefault="00D867A4" w:rsidP="00D867A4">
      <w:pPr>
        <w:spacing w:after="0"/>
        <w:jc w:val="both"/>
        <w:rPr>
          <w:rFonts w:ascii="Arial" w:hAnsi="Arial" w:cs="Arial"/>
        </w:rPr>
      </w:pPr>
      <w:r w:rsidRPr="00C13E29">
        <w:rPr>
          <w:rFonts w:ascii="Arial" w:hAnsi="Arial" w:cs="Arial"/>
        </w:rPr>
        <w:t xml:space="preserve">The </w:t>
      </w:r>
      <w:r w:rsidRPr="00C13E29">
        <w:rPr>
          <w:rFonts w:ascii="Arial" w:hAnsi="Arial" w:cs="Arial"/>
          <w:color w:val="0000FF"/>
          <w:u w:val="single"/>
        </w:rPr>
        <w:t>Overall Measure of Delivery</w:t>
      </w:r>
      <w:r w:rsidRPr="00C13E29">
        <w:rPr>
          <w:rFonts w:ascii="Arial" w:hAnsi="Arial" w:cs="Arial"/>
        </w:rPr>
        <w:t xml:space="preserve"> provides a high level measurement of Scottish Water’s progress against its Delivery Plan; it assesses the progress of the investment outputs monitored by OMG across each of the five key delivery milestones, combining this information to give an overall score.  Progress with </w:t>
      </w:r>
      <w:r>
        <w:rPr>
          <w:rFonts w:ascii="Arial" w:hAnsi="Arial" w:cs="Arial"/>
        </w:rPr>
        <w:t xml:space="preserve">delivering late </w:t>
      </w:r>
      <w:r w:rsidRPr="00C13E29">
        <w:rPr>
          <w:rFonts w:ascii="Arial" w:hAnsi="Arial" w:cs="Arial"/>
        </w:rPr>
        <w:t xml:space="preserve">projects from previous investment periods and </w:t>
      </w:r>
      <w:r>
        <w:rPr>
          <w:rFonts w:ascii="Arial" w:hAnsi="Arial" w:cs="Arial"/>
        </w:rPr>
        <w:t xml:space="preserve">demand led </w:t>
      </w:r>
      <w:r w:rsidRPr="00C13E29">
        <w:rPr>
          <w:rFonts w:ascii="Arial" w:hAnsi="Arial" w:cs="Arial"/>
        </w:rPr>
        <w:t xml:space="preserve">schemes </w:t>
      </w:r>
      <w:r>
        <w:rPr>
          <w:rFonts w:ascii="Arial" w:hAnsi="Arial" w:cs="Arial"/>
        </w:rPr>
        <w:t>(such as new capacity to support economic growth)</w:t>
      </w:r>
      <w:r w:rsidRPr="00C13E29">
        <w:rPr>
          <w:rFonts w:ascii="Arial" w:hAnsi="Arial" w:cs="Arial"/>
        </w:rPr>
        <w:t xml:space="preserve"> are </w:t>
      </w:r>
      <w:r>
        <w:rPr>
          <w:rFonts w:ascii="Arial" w:hAnsi="Arial" w:cs="Arial"/>
        </w:rPr>
        <w:t>not included in the OMD.</w:t>
      </w:r>
      <w:r w:rsidRPr="00C13E29">
        <w:rPr>
          <w:rFonts w:ascii="Arial" w:hAnsi="Arial" w:cs="Arial"/>
        </w:rPr>
        <w:t xml:space="preserve">  </w:t>
      </w:r>
    </w:p>
    <w:p w14:paraId="3590A6C3" w14:textId="77777777" w:rsidR="0099130B" w:rsidRDefault="0099130B" w:rsidP="00D867A4">
      <w:pPr>
        <w:spacing w:after="0"/>
        <w:jc w:val="both"/>
        <w:rPr>
          <w:rFonts w:ascii="Arial" w:hAnsi="Arial" w:cs="Arial"/>
        </w:rPr>
      </w:pPr>
    </w:p>
    <w:p w14:paraId="095A4482" w14:textId="77777777" w:rsidR="00D867A4" w:rsidRDefault="00D867A4" w:rsidP="00D867A4">
      <w:pPr>
        <w:spacing w:after="0"/>
        <w:jc w:val="both"/>
        <w:rPr>
          <w:rFonts w:ascii="Arial" w:hAnsi="Arial" w:cs="Arial"/>
        </w:rPr>
      </w:pPr>
      <w:r w:rsidRPr="00C13E29">
        <w:rPr>
          <w:rFonts w:ascii="Arial" w:hAnsi="Arial" w:cs="Arial"/>
        </w:rPr>
        <w:lastRenderedPageBreak/>
        <w:t xml:space="preserve">At the beginning of the </w:t>
      </w:r>
      <w:r>
        <w:rPr>
          <w:rFonts w:ascii="Arial" w:hAnsi="Arial" w:cs="Arial"/>
        </w:rPr>
        <w:t>programme</w:t>
      </w:r>
      <w:r w:rsidRPr="00C13E29">
        <w:rPr>
          <w:rFonts w:ascii="Arial" w:hAnsi="Arial" w:cs="Arial"/>
        </w:rPr>
        <w:t xml:space="preserve"> the OMD score starts at zero and </w:t>
      </w:r>
      <w:r>
        <w:rPr>
          <w:rFonts w:ascii="Arial" w:hAnsi="Arial" w:cs="Arial"/>
        </w:rPr>
        <w:t xml:space="preserve">at 31 March 2021 </w:t>
      </w:r>
      <w:r w:rsidR="009523C8">
        <w:rPr>
          <w:rFonts w:ascii="Arial" w:hAnsi="Arial" w:cs="Arial"/>
        </w:rPr>
        <w:t xml:space="preserve">should </w:t>
      </w:r>
      <w:r>
        <w:rPr>
          <w:rFonts w:ascii="Arial" w:hAnsi="Arial" w:cs="Arial"/>
        </w:rPr>
        <w:t>reach 250</w:t>
      </w:r>
      <w:r>
        <w:rPr>
          <w:rStyle w:val="FootnoteReference"/>
          <w:rFonts w:ascii="Arial" w:hAnsi="Arial" w:cs="Arial"/>
        </w:rPr>
        <w:footnoteReference w:id="2"/>
      </w:r>
      <w:r w:rsidRPr="00C13E29">
        <w:rPr>
          <w:rFonts w:ascii="Arial" w:hAnsi="Arial" w:cs="Arial"/>
        </w:rPr>
        <w:t xml:space="preserve"> points confirming that all outputs monitored </w:t>
      </w:r>
      <w:r w:rsidRPr="00FF2CF0">
        <w:rPr>
          <w:rFonts w:ascii="Arial" w:hAnsi="Arial" w:cs="Arial"/>
        </w:rPr>
        <w:t xml:space="preserve">have been delivered.  </w:t>
      </w:r>
      <w:r w:rsidRPr="007E4460">
        <w:rPr>
          <w:rFonts w:ascii="Arial" w:hAnsi="Arial" w:cs="Arial"/>
        </w:rPr>
        <w:t>Performance</w:t>
      </w:r>
      <w:r w:rsidRPr="00F67FE1">
        <w:rPr>
          <w:rFonts w:ascii="Arial" w:hAnsi="Arial" w:cs="Arial"/>
        </w:rPr>
        <w:t xml:space="preserve"> is considered to be ‘on target’ if it is within 2.5% of the agreed OMD score.</w:t>
      </w:r>
      <w:r>
        <w:rPr>
          <w:rFonts w:ascii="Arial" w:hAnsi="Arial" w:cs="Arial"/>
        </w:rPr>
        <w:t xml:space="preserve">  At the end of </w:t>
      </w:r>
      <w:r w:rsidR="00D94DA2">
        <w:rPr>
          <w:rFonts w:ascii="Arial" w:hAnsi="Arial" w:cs="Arial"/>
        </w:rPr>
        <w:t>Dece</w:t>
      </w:r>
      <w:r w:rsidR="00340837">
        <w:rPr>
          <w:rFonts w:ascii="Arial" w:hAnsi="Arial" w:cs="Arial"/>
        </w:rPr>
        <w:t>mber</w:t>
      </w:r>
      <w:r>
        <w:rPr>
          <w:rFonts w:ascii="Arial" w:hAnsi="Arial" w:cs="Arial"/>
        </w:rPr>
        <w:t xml:space="preserve"> 2015 Scottish Water’s OMD </w:t>
      </w:r>
      <w:r w:rsidR="00B579B1">
        <w:rPr>
          <w:rFonts w:ascii="Arial" w:hAnsi="Arial" w:cs="Arial"/>
        </w:rPr>
        <w:t xml:space="preserve">position </w:t>
      </w:r>
      <w:r>
        <w:rPr>
          <w:rFonts w:ascii="Arial" w:hAnsi="Arial" w:cs="Arial"/>
        </w:rPr>
        <w:t xml:space="preserve">was </w:t>
      </w:r>
      <w:r w:rsidR="005E29E6">
        <w:rPr>
          <w:rFonts w:ascii="Arial" w:hAnsi="Arial" w:cs="Arial"/>
        </w:rPr>
        <w:t>4</w:t>
      </w:r>
      <w:r w:rsidR="00715E99">
        <w:rPr>
          <w:rFonts w:ascii="Arial" w:hAnsi="Arial" w:cs="Arial"/>
        </w:rPr>
        <w:t>9.</w:t>
      </w:r>
      <w:r w:rsidR="0050042C">
        <w:rPr>
          <w:rFonts w:ascii="Arial" w:hAnsi="Arial" w:cs="Arial"/>
        </w:rPr>
        <w:t>6</w:t>
      </w:r>
      <w:r>
        <w:rPr>
          <w:rFonts w:ascii="Arial" w:hAnsi="Arial" w:cs="Arial"/>
        </w:rPr>
        <w:t xml:space="preserve"> points</w:t>
      </w:r>
      <w:r w:rsidR="00205B7B">
        <w:rPr>
          <w:rFonts w:ascii="Arial" w:hAnsi="Arial" w:cs="Arial"/>
        </w:rPr>
        <w:t xml:space="preserve">, </w:t>
      </w:r>
      <w:r w:rsidR="009523C8">
        <w:rPr>
          <w:rFonts w:ascii="Arial" w:hAnsi="Arial" w:cs="Arial"/>
        </w:rPr>
        <w:t xml:space="preserve">an increase of </w:t>
      </w:r>
      <w:r w:rsidR="005E29E6">
        <w:rPr>
          <w:rFonts w:ascii="Arial" w:hAnsi="Arial" w:cs="Arial"/>
        </w:rPr>
        <w:t>8.</w:t>
      </w:r>
      <w:r w:rsidR="0050042C">
        <w:rPr>
          <w:rFonts w:ascii="Arial" w:hAnsi="Arial" w:cs="Arial"/>
        </w:rPr>
        <w:t>5</w:t>
      </w:r>
      <w:r w:rsidR="009523C8">
        <w:rPr>
          <w:rFonts w:ascii="Arial" w:hAnsi="Arial" w:cs="Arial"/>
        </w:rPr>
        <w:t xml:space="preserve"> points from the Quarter </w:t>
      </w:r>
      <w:r w:rsidR="0050042C">
        <w:rPr>
          <w:rFonts w:ascii="Arial" w:hAnsi="Arial" w:cs="Arial"/>
        </w:rPr>
        <w:t>2</w:t>
      </w:r>
      <w:r w:rsidR="00D94DA2">
        <w:rPr>
          <w:rFonts w:ascii="Arial" w:hAnsi="Arial" w:cs="Arial"/>
        </w:rPr>
        <w:t xml:space="preserve"> </w:t>
      </w:r>
      <w:r w:rsidR="00B579B1">
        <w:rPr>
          <w:rFonts w:ascii="Arial" w:hAnsi="Arial" w:cs="Arial"/>
        </w:rPr>
        <w:t xml:space="preserve">position </w:t>
      </w:r>
      <w:r w:rsidR="009523C8">
        <w:rPr>
          <w:rFonts w:ascii="Arial" w:hAnsi="Arial" w:cs="Arial"/>
        </w:rPr>
        <w:t xml:space="preserve">of </w:t>
      </w:r>
      <w:r w:rsidR="00D94DA2">
        <w:rPr>
          <w:rFonts w:ascii="Arial" w:hAnsi="Arial" w:cs="Arial"/>
        </w:rPr>
        <w:t>4</w:t>
      </w:r>
      <w:r w:rsidR="0050042C">
        <w:rPr>
          <w:rFonts w:ascii="Arial" w:hAnsi="Arial" w:cs="Arial"/>
        </w:rPr>
        <w:t>1</w:t>
      </w:r>
      <w:r w:rsidR="00715E99">
        <w:rPr>
          <w:rFonts w:ascii="Arial" w:hAnsi="Arial" w:cs="Arial"/>
        </w:rPr>
        <w:t>.</w:t>
      </w:r>
      <w:r w:rsidR="0050042C">
        <w:rPr>
          <w:rFonts w:ascii="Arial" w:hAnsi="Arial" w:cs="Arial"/>
        </w:rPr>
        <w:t>1</w:t>
      </w:r>
      <w:r w:rsidR="00982D00">
        <w:rPr>
          <w:rFonts w:ascii="Arial" w:hAnsi="Arial" w:cs="Arial"/>
        </w:rPr>
        <w:t>.</w:t>
      </w:r>
      <w:r w:rsidRPr="00FF2CF0">
        <w:rPr>
          <w:rFonts w:ascii="Arial" w:hAnsi="Arial" w:cs="Arial"/>
        </w:rPr>
        <w:t xml:space="preserve"> </w:t>
      </w:r>
      <w:r>
        <w:rPr>
          <w:rFonts w:ascii="Arial" w:hAnsi="Arial" w:cs="Arial"/>
        </w:rPr>
        <w:t xml:space="preserve"> </w:t>
      </w:r>
      <w:r w:rsidR="00F017A2">
        <w:rPr>
          <w:rFonts w:ascii="Arial" w:hAnsi="Arial" w:cs="Arial"/>
        </w:rPr>
        <w:t xml:space="preserve">Scottish </w:t>
      </w:r>
      <w:r w:rsidR="00013D94">
        <w:rPr>
          <w:rFonts w:ascii="Arial" w:hAnsi="Arial" w:cs="Arial"/>
        </w:rPr>
        <w:t>W</w:t>
      </w:r>
      <w:r w:rsidR="00F017A2">
        <w:rPr>
          <w:rFonts w:ascii="Arial" w:hAnsi="Arial" w:cs="Arial"/>
        </w:rPr>
        <w:t xml:space="preserve">ater notes that performance has been slower than anticipated, but </w:t>
      </w:r>
      <w:r w:rsidR="00C82CD7">
        <w:rPr>
          <w:rFonts w:ascii="Arial" w:hAnsi="Arial" w:cs="Arial"/>
        </w:rPr>
        <w:t xml:space="preserve">forecasts that OMD </w:t>
      </w:r>
      <w:r>
        <w:rPr>
          <w:rFonts w:ascii="Arial" w:hAnsi="Arial" w:cs="Arial"/>
        </w:rPr>
        <w:t>will recover and be within</w:t>
      </w:r>
      <w:r w:rsidR="00A45F87">
        <w:rPr>
          <w:rFonts w:ascii="Arial" w:hAnsi="Arial" w:cs="Arial"/>
        </w:rPr>
        <w:t xml:space="preserve"> </w:t>
      </w:r>
      <w:r>
        <w:rPr>
          <w:rFonts w:ascii="Arial" w:hAnsi="Arial" w:cs="Arial"/>
        </w:rPr>
        <w:t>the target range (</w:t>
      </w:r>
      <w:r w:rsidR="006B30AE" w:rsidRPr="00E42608">
        <w:rPr>
          <w:rFonts w:ascii="Arial" w:hAnsi="Arial" w:cs="Arial"/>
        </w:rPr>
        <w:t xml:space="preserve">70.4 </w:t>
      </w:r>
      <w:r w:rsidRPr="00E42608">
        <w:rPr>
          <w:rFonts w:ascii="Arial" w:hAnsi="Arial" w:cs="Arial"/>
        </w:rPr>
        <w:t xml:space="preserve">to </w:t>
      </w:r>
      <w:r w:rsidR="00FB1B83" w:rsidRPr="00E42608">
        <w:rPr>
          <w:rFonts w:ascii="Arial" w:hAnsi="Arial" w:cs="Arial"/>
        </w:rPr>
        <w:t>7</w:t>
      </w:r>
      <w:r w:rsidR="006B30AE" w:rsidRPr="00E42608">
        <w:rPr>
          <w:rFonts w:ascii="Arial" w:hAnsi="Arial" w:cs="Arial"/>
        </w:rPr>
        <w:t>4.0</w:t>
      </w:r>
      <w:r w:rsidRPr="00E42608">
        <w:rPr>
          <w:rFonts w:ascii="Arial" w:hAnsi="Arial" w:cs="Arial"/>
        </w:rPr>
        <w:t xml:space="preserve"> points</w:t>
      </w:r>
      <w:r w:rsidR="009523C8" w:rsidRPr="00E42608">
        <w:rPr>
          <w:rFonts w:ascii="Arial" w:hAnsi="Arial" w:cs="Arial"/>
        </w:rPr>
        <w:t>, the midpoint being 7</w:t>
      </w:r>
      <w:r w:rsidR="006B30AE" w:rsidRPr="00E42608">
        <w:rPr>
          <w:rFonts w:ascii="Arial" w:hAnsi="Arial" w:cs="Arial"/>
        </w:rPr>
        <w:t>2.3</w:t>
      </w:r>
      <w:r w:rsidR="00FB1B83" w:rsidRPr="006B30AE">
        <w:rPr>
          <w:rStyle w:val="FootnoteReference"/>
          <w:rFonts w:ascii="Arial" w:hAnsi="Arial" w:cs="Arial"/>
        </w:rPr>
        <w:footnoteReference w:id="3"/>
      </w:r>
      <w:r w:rsidRPr="006B30AE">
        <w:rPr>
          <w:rFonts w:ascii="Arial" w:hAnsi="Arial" w:cs="Arial"/>
        </w:rPr>
        <w:t>)</w:t>
      </w:r>
      <w:r>
        <w:rPr>
          <w:rFonts w:ascii="Arial" w:hAnsi="Arial" w:cs="Arial"/>
        </w:rPr>
        <w:t xml:space="preserve"> at March 2016.  This performance is </w:t>
      </w:r>
      <w:r w:rsidRPr="00C13E29">
        <w:rPr>
          <w:rFonts w:ascii="Arial" w:hAnsi="Arial" w:cs="Arial"/>
        </w:rPr>
        <w:t>illustrated in Figure 1.</w:t>
      </w:r>
    </w:p>
    <w:p w14:paraId="6702F582" w14:textId="77777777" w:rsidR="00C76A66" w:rsidRDefault="00C76A66" w:rsidP="00D867A4">
      <w:pPr>
        <w:spacing w:after="0"/>
        <w:jc w:val="both"/>
        <w:rPr>
          <w:rFonts w:ascii="Arial" w:hAnsi="Arial" w:cs="Arial"/>
        </w:rPr>
      </w:pPr>
    </w:p>
    <w:p w14:paraId="77916499" w14:textId="77777777" w:rsidR="007D25C1" w:rsidRDefault="007D25C1" w:rsidP="00D867A4">
      <w:pPr>
        <w:spacing w:after="0"/>
        <w:jc w:val="both"/>
        <w:rPr>
          <w:rFonts w:ascii="Arial" w:hAnsi="Arial" w:cs="Arial"/>
        </w:rPr>
      </w:pPr>
    </w:p>
    <w:p w14:paraId="1FCD42C3" w14:textId="77777777" w:rsidR="00143C9E" w:rsidRDefault="00D86C90" w:rsidP="00D867A4">
      <w:pPr>
        <w:spacing w:after="0"/>
        <w:jc w:val="both"/>
        <w:rPr>
          <w:rFonts w:ascii="Arial" w:hAnsi="Arial" w:cs="Arial"/>
        </w:rPr>
      </w:pPr>
      <w:r>
        <w:rPr>
          <w:noProof/>
          <w:lang w:eastAsia="en-GB"/>
        </w:rPr>
        <w:drawing>
          <wp:inline distT="0" distB="0" distL="0" distR="0" wp14:anchorId="5CB98A9D" wp14:editId="60BF7EC5">
            <wp:extent cx="5513560" cy="3250194"/>
            <wp:effectExtent l="0" t="0" r="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086EC03" w14:textId="77777777" w:rsidR="007D25C1" w:rsidRDefault="007D25C1" w:rsidP="00D867A4">
      <w:pPr>
        <w:spacing w:after="0"/>
        <w:jc w:val="both"/>
        <w:rPr>
          <w:rFonts w:ascii="Arial" w:hAnsi="Arial" w:cs="Arial"/>
        </w:rPr>
      </w:pPr>
    </w:p>
    <w:p w14:paraId="7318F944" w14:textId="77777777" w:rsidR="0099130B" w:rsidRPr="00D4712E" w:rsidRDefault="00BF50E9" w:rsidP="00585148">
      <w:pPr>
        <w:spacing w:after="0"/>
        <w:jc w:val="both"/>
        <w:rPr>
          <w:rFonts w:ascii="Arial" w:hAnsi="Arial" w:cs="Arial"/>
          <w:sz w:val="16"/>
          <w:szCs w:val="16"/>
        </w:rPr>
      </w:pPr>
      <w:bookmarkStart w:id="0" w:name="_MON_1466582817"/>
      <w:bookmarkStart w:id="1" w:name="_MON_1466582934"/>
      <w:bookmarkEnd w:id="0"/>
      <w:bookmarkEnd w:id="1"/>
      <w:r w:rsidRPr="00BF18CA">
        <w:rPr>
          <w:rFonts w:ascii="Arial" w:hAnsi="Arial" w:cs="Arial"/>
          <w:b/>
          <w:bCs/>
          <w:sz w:val="18"/>
          <w:szCs w:val="18"/>
        </w:rPr>
        <w:t xml:space="preserve">Figure 1 – Overall Measure of Delivery </w:t>
      </w:r>
      <w:r w:rsidR="00053D04">
        <w:rPr>
          <w:rFonts w:ascii="Arial" w:hAnsi="Arial" w:cs="Arial"/>
          <w:b/>
          <w:bCs/>
          <w:sz w:val="18"/>
          <w:szCs w:val="18"/>
        </w:rPr>
        <w:t>2015/16</w:t>
      </w:r>
    </w:p>
    <w:p w14:paraId="201F9F2A" w14:textId="77777777" w:rsidR="00403E90" w:rsidRDefault="00403E90">
      <w:pPr>
        <w:spacing w:after="0" w:line="240" w:lineRule="auto"/>
        <w:rPr>
          <w:rFonts w:ascii="Arial" w:hAnsi="Arial" w:cs="Arial"/>
        </w:rPr>
      </w:pPr>
    </w:p>
    <w:p w14:paraId="7829D2AA" w14:textId="77777777" w:rsidR="00C31453" w:rsidRDefault="00C31453">
      <w:pPr>
        <w:spacing w:after="0" w:line="240" w:lineRule="auto"/>
        <w:rPr>
          <w:rFonts w:ascii="Arial" w:hAnsi="Arial" w:cs="Arial"/>
        </w:rPr>
      </w:pPr>
      <w:r>
        <w:rPr>
          <w:rFonts w:ascii="Arial" w:hAnsi="Arial" w:cs="Arial"/>
        </w:rPr>
        <w:br w:type="page"/>
      </w:r>
    </w:p>
    <w:p w14:paraId="7783BDBD" w14:textId="77777777" w:rsidR="00933F67" w:rsidRDefault="00933F67" w:rsidP="00EF7384">
      <w:pPr>
        <w:spacing w:after="0" w:line="240" w:lineRule="auto"/>
        <w:rPr>
          <w:rFonts w:ascii="Arial" w:hAnsi="Arial" w:cs="Arial"/>
          <w:b/>
          <w:bCs/>
        </w:rPr>
      </w:pPr>
      <w:r>
        <w:rPr>
          <w:rFonts w:ascii="Arial" w:hAnsi="Arial" w:cs="Arial"/>
          <w:b/>
          <w:bCs/>
        </w:rPr>
        <w:lastRenderedPageBreak/>
        <w:t>1.</w:t>
      </w:r>
      <w:r w:rsidR="005E0D81">
        <w:rPr>
          <w:rFonts w:ascii="Arial" w:hAnsi="Arial" w:cs="Arial"/>
          <w:b/>
          <w:bCs/>
        </w:rPr>
        <w:t>4</w:t>
      </w:r>
      <w:r>
        <w:rPr>
          <w:rFonts w:ascii="Arial" w:hAnsi="Arial" w:cs="Arial"/>
          <w:b/>
          <w:bCs/>
        </w:rPr>
        <w:tab/>
      </w:r>
      <w:r w:rsidR="00C76A66">
        <w:rPr>
          <w:rFonts w:ascii="Arial" w:hAnsi="Arial" w:cs="Arial"/>
          <w:b/>
          <w:bCs/>
        </w:rPr>
        <w:t>Progress against milestones</w:t>
      </w:r>
    </w:p>
    <w:p w14:paraId="1412F0C7" w14:textId="3742BEFF" w:rsidR="00C76A66" w:rsidRDefault="00C76A66" w:rsidP="00143C9E">
      <w:pPr>
        <w:spacing w:after="0"/>
        <w:jc w:val="both"/>
        <w:rPr>
          <w:rFonts w:ascii="Arial" w:hAnsi="Arial" w:cs="Arial"/>
        </w:rPr>
      </w:pPr>
      <w:r>
        <w:rPr>
          <w:rFonts w:ascii="Arial" w:hAnsi="Arial" w:cs="Arial"/>
        </w:rPr>
        <w:t>To demonstrate the progress being made through each of the 5 programme milestones monitored</w:t>
      </w:r>
      <w:r w:rsidR="001D736B">
        <w:rPr>
          <w:rFonts w:ascii="Arial" w:hAnsi="Arial" w:cs="Arial"/>
        </w:rPr>
        <w:t xml:space="preserve"> by OMG</w:t>
      </w:r>
      <w:r>
        <w:rPr>
          <w:rFonts w:ascii="Arial" w:hAnsi="Arial" w:cs="Arial"/>
        </w:rPr>
        <w:t>, Figure 2 below shows the % budget through each milestone for the reported programmes.</w:t>
      </w:r>
    </w:p>
    <w:p w14:paraId="6F36B9FE" w14:textId="4F9E7457" w:rsidR="001004BC" w:rsidRDefault="001004BC" w:rsidP="00441F25">
      <w:pPr>
        <w:spacing w:after="0" w:line="240" w:lineRule="auto"/>
        <w:rPr>
          <w:rFonts w:ascii="Arial" w:hAnsi="Arial" w:cs="Arial"/>
          <w:highlight w:val="green"/>
        </w:rPr>
      </w:pPr>
      <w:r w:rsidRPr="00EC7B02">
        <w:rPr>
          <w:rFonts w:ascii="Arial" w:hAnsi="Arial" w:cs="Arial"/>
          <w:noProof/>
          <w:lang w:eastAsia="en-GB"/>
        </w:rPr>
        <w:drawing>
          <wp:inline distT="0" distB="0" distL="0" distR="0" wp14:anchorId="78BE7378" wp14:editId="0BCE062A">
            <wp:extent cx="5920966" cy="386804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0006" cy="3867413"/>
                    </a:xfrm>
                    <a:prstGeom prst="rect">
                      <a:avLst/>
                    </a:prstGeom>
                    <a:noFill/>
                  </pic:spPr>
                </pic:pic>
              </a:graphicData>
            </a:graphic>
          </wp:inline>
        </w:drawing>
      </w:r>
    </w:p>
    <w:p w14:paraId="16DF1E73" w14:textId="3B034FD7" w:rsidR="00B650E8" w:rsidRDefault="00B650E8" w:rsidP="00441F25">
      <w:pPr>
        <w:spacing w:after="0" w:line="240" w:lineRule="auto"/>
        <w:rPr>
          <w:rFonts w:ascii="Arial" w:hAnsi="Arial" w:cs="Arial"/>
          <w:highlight w:val="green"/>
        </w:rPr>
      </w:pPr>
    </w:p>
    <w:p w14:paraId="089FDACD" w14:textId="091AC459" w:rsidR="00C76A66" w:rsidRPr="00D4712E" w:rsidRDefault="00C76A66" w:rsidP="00441F25">
      <w:pPr>
        <w:spacing w:after="0" w:line="240" w:lineRule="auto"/>
        <w:rPr>
          <w:rFonts w:ascii="Arial" w:hAnsi="Arial" w:cs="Arial"/>
          <w:sz w:val="16"/>
          <w:szCs w:val="16"/>
        </w:rPr>
      </w:pPr>
      <w:r w:rsidRPr="00BF18CA">
        <w:rPr>
          <w:rFonts w:ascii="Arial" w:hAnsi="Arial" w:cs="Arial"/>
          <w:b/>
          <w:bCs/>
          <w:sz w:val="18"/>
          <w:szCs w:val="18"/>
        </w:rPr>
        <w:t xml:space="preserve">Figure </w:t>
      </w:r>
      <w:r>
        <w:rPr>
          <w:rFonts w:ascii="Arial" w:hAnsi="Arial" w:cs="Arial"/>
          <w:b/>
          <w:bCs/>
          <w:sz w:val="18"/>
          <w:szCs w:val="18"/>
        </w:rPr>
        <w:t>2</w:t>
      </w:r>
      <w:r w:rsidRPr="00BF18CA">
        <w:rPr>
          <w:rFonts w:ascii="Arial" w:hAnsi="Arial" w:cs="Arial"/>
          <w:b/>
          <w:bCs/>
          <w:sz w:val="18"/>
          <w:szCs w:val="18"/>
        </w:rPr>
        <w:t xml:space="preserve"> – </w:t>
      </w:r>
      <w:r>
        <w:rPr>
          <w:rFonts w:ascii="Arial" w:hAnsi="Arial" w:cs="Arial"/>
          <w:b/>
          <w:bCs/>
          <w:sz w:val="18"/>
          <w:szCs w:val="18"/>
        </w:rPr>
        <w:t>Reported output programmes - % budget through each milestone</w:t>
      </w:r>
    </w:p>
    <w:p w14:paraId="7799A6B6" w14:textId="77777777" w:rsidR="00C76A66" w:rsidRDefault="00C76A66" w:rsidP="00441F25">
      <w:pPr>
        <w:spacing w:after="0" w:line="240" w:lineRule="auto"/>
        <w:rPr>
          <w:rFonts w:ascii="Arial" w:hAnsi="Arial" w:cs="Arial"/>
          <w:highlight w:val="green"/>
        </w:rPr>
      </w:pPr>
    </w:p>
    <w:p w14:paraId="5C9D95D1" w14:textId="77777777" w:rsidR="00933F67" w:rsidRDefault="00933F67" w:rsidP="00441F25">
      <w:pPr>
        <w:spacing w:after="0" w:line="240" w:lineRule="auto"/>
        <w:rPr>
          <w:rFonts w:ascii="Arial" w:hAnsi="Arial" w:cs="Arial"/>
          <w:b/>
          <w:bCs/>
        </w:rPr>
      </w:pPr>
    </w:p>
    <w:p w14:paraId="24895CF4" w14:textId="77777777" w:rsidR="00F51317" w:rsidRDefault="00F51317" w:rsidP="00441F25">
      <w:pPr>
        <w:spacing w:after="0" w:line="240" w:lineRule="auto"/>
        <w:rPr>
          <w:rFonts w:ascii="Arial" w:hAnsi="Arial" w:cs="Arial"/>
          <w:b/>
          <w:bCs/>
        </w:rPr>
      </w:pPr>
      <w:r>
        <w:rPr>
          <w:rFonts w:ascii="Arial" w:hAnsi="Arial" w:cs="Arial"/>
          <w:b/>
          <w:bCs/>
        </w:rPr>
        <w:t>RAG Status</w:t>
      </w:r>
    </w:p>
    <w:p w14:paraId="44BFB0F1" w14:textId="77777777" w:rsidR="00F51317" w:rsidRPr="00092954" w:rsidRDefault="00F51317" w:rsidP="00F51317">
      <w:pPr>
        <w:tabs>
          <w:tab w:val="left" w:pos="0"/>
        </w:tabs>
        <w:jc w:val="both"/>
        <w:rPr>
          <w:rFonts w:ascii="Arial" w:hAnsi="Arial" w:cs="Arial"/>
          <w:bCs/>
        </w:rPr>
      </w:pPr>
      <w:r w:rsidRPr="00092954">
        <w:rPr>
          <w:rFonts w:ascii="Arial" w:hAnsi="Arial" w:cs="Arial"/>
          <w:bCs/>
        </w:rPr>
        <w:t xml:space="preserve">The following colour coding is applied to the </w:t>
      </w:r>
      <w:r>
        <w:rPr>
          <w:rFonts w:ascii="Arial" w:hAnsi="Arial" w:cs="Arial"/>
          <w:bCs/>
        </w:rPr>
        <w:t xml:space="preserve">forecast in the </w:t>
      </w:r>
      <w:r w:rsidRPr="00092954">
        <w:rPr>
          <w:rFonts w:ascii="Arial" w:hAnsi="Arial" w:cs="Arial"/>
          <w:bCs/>
        </w:rPr>
        <w:t>output delivery table</w:t>
      </w:r>
      <w:r>
        <w:rPr>
          <w:rFonts w:ascii="Arial" w:hAnsi="Arial" w:cs="Arial"/>
          <w:bCs/>
        </w:rPr>
        <w:t>s</w:t>
      </w:r>
      <w:r w:rsidRPr="00092954">
        <w:rPr>
          <w:rFonts w:ascii="Arial" w:hAnsi="Arial" w:cs="Arial"/>
          <w:bCs/>
        </w:rPr>
        <w:t xml:space="preserve">, using the definitions outlined below: </w:t>
      </w: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7938"/>
      </w:tblGrid>
      <w:tr w:rsidR="00F51317" w:rsidRPr="001A7D80" w14:paraId="24848E6B" w14:textId="77777777" w:rsidTr="00A61154">
        <w:trPr>
          <w:trHeight w:hRule="exact" w:val="476"/>
        </w:trPr>
        <w:tc>
          <w:tcPr>
            <w:tcW w:w="992" w:type="dxa"/>
            <w:tcBorders>
              <w:bottom w:val="single" w:sz="4" w:space="0" w:color="000000"/>
            </w:tcBorders>
            <w:shd w:val="clear" w:color="auto" w:fill="FF0000"/>
            <w:vAlign w:val="center"/>
          </w:tcPr>
          <w:p w14:paraId="08F3DF27" w14:textId="77777777" w:rsidR="00F51317" w:rsidRPr="00585148" w:rsidRDefault="00F51317">
            <w:pPr>
              <w:ind w:left="1"/>
              <w:rPr>
                <w:rFonts w:ascii="Arial" w:hAnsi="Arial" w:cs="Arial"/>
                <w:b/>
              </w:rPr>
            </w:pPr>
            <w:r w:rsidRPr="00585148">
              <w:rPr>
                <w:rFonts w:ascii="Arial" w:hAnsi="Arial" w:cs="Arial"/>
                <w:b/>
              </w:rPr>
              <w:t>Red</w:t>
            </w:r>
          </w:p>
        </w:tc>
        <w:tc>
          <w:tcPr>
            <w:tcW w:w="7938" w:type="dxa"/>
            <w:tcBorders>
              <w:bottom w:val="single" w:sz="4" w:space="0" w:color="000000"/>
            </w:tcBorders>
            <w:vAlign w:val="center"/>
          </w:tcPr>
          <w:p w14:paraId="0EC4873B" w14:textId="77777777" w:rsidR="00F51317" w:rsidRPr="00585148" w:rsidRDefault="00F51317">
            <w:pPr>
              <w:keepNext/>
              <w:keepLines/>
              <w:rPr>
                <w:rFonts w:ascii="Arial" w:hAnsi="Arial" w:cs="Arial"/>
              </w:rPr>
            </w:pPr>
            <w:r w:rsidRPr="00585148">
              <w:rPr>
                <w:rFonts w:ascii="Arial" w:hAnsi="Arial" w:cs="Arial"/>
              </w:rPr>
              <w:t xml:space="preserve">Progress is behind target and there is no prospect of recovery over the </w:t>
            </w:r>
            <w:r w:rsidR="002E066C">
              <w:rPr>
                <w:rFonts w:ascii="Arial" w:hAnsi="Arial" w:cs="Arial"/>
              </w:rPr>
              <w:t>year</w:t>
            </w:r>
          </w:p>
        </w:tc>
      </w:tr>
      <w:tr w:rsidR="00F51317" w:rsidRPr="001A7D80" w14:paraId="531DDCE0" w14:textId="77777777" w:rsidTr="00A61154">
        <w:trPr>
          <w:trHeight w:hRule="exact" w:val="454"/>
        </w:trPr>
        <w:tc>
          <w:tcPr>
            <w:tcW w:w="992" w:type="dxa"/>
            <w:shd w:val="clear" w:color="auto" w:fill="FFC000"/>
            <w:vAlign w:val="center"/>
          </w:tcPr>
          <w:p w14:paraId="0C586A41" w14:textId="77777777" w:rsidR="00F51317" w:rsidRPr="00585148" w:rsidRDefault="00F51317">
            <w:pPr>
              <w:ind w:left="1"/>
              <w:rPr>
                <w:rFonts w:ascii="Arial" w:hAnsi="Arial" w:cs="Arial"/>
                <w:b/>
              </w:rPr>
            </w:pPr>
            <w:r w:rsidRPr="00585148">
              <w:rPr>
                <w:rFonts w:ascii="Arial" w:hAnsi="Arial" w:cs="Arial"/>
                <w:b/>
              </w:rPr>
              <w:t>Amber</w:t>
            </w:r>
          </w:p>
        </w:tc>
        <w:tc>
          <w:tcPr>
            <w:tcW w:w="7938" w:type="dxa"/>
            <w:vAlign w:val="center"/>
          </w:tcPr>
          <w:p w14:paraId="36F0E8C0" w14:textId="77777777" w:rsidR="00F51317" w:rsidRPr="00585148" w:rsidRDefault="00F51317">
            <w:pPr>
              <w:keepNext/>
              <w:keepLines/>
              <w:rPr>
                <w:rFonts w:ascii="Arial" w:hAnsi="Arial" w:cs="Arial"/>
              </w:rPr>
            </w:pPr>
            <w:r w:rsidRPr="00585148">
              <w:rPr>
                <w:rFonts w:ascii="Arial" w:hAnsi="Arial" w:cs="Arial"/>
              </w:rPr>
              <w:t xml:space="preserve">At risk of not delivering the output within the </w:t>
            </w:r>
            <w:r w:rsidR="002E066C">
              <w:rPr>
                <w:rFonts w:ascii="Arial" w:hAnsi="Arial" w:cs="Arial"/>
              </w:rPr>
              <w:t>year</w:t>
            </w:r>
          </w:p>
        </w:tc>
      </w:tr>
      <w:tr w:rsidR="00F51317" w:rsidRPr="001A7D80" w14:paraId="7084EC8D" w14:textId="77777777" w:rsidTr="00A61154">
        <w:trPr>
          <w:trHeight w:hRule="exact" w:val="454"/>
        </w:trPr>
        <w:tc>
          <w:tcPr>
            <w:tcW w:w="992" w:type="dxa"/>
            <w:tcBorders>
              <w:bottom w:val="single" w:sz="4" w:space="0" w:color="000000"/>
            </w:tcBorders>
            <w:shd w:val="clear" w:color="auto" w:fill="00FF00"/>
            <w:vAlign w:val="center"/>
          </w:tcPr>
          <w:p w14:paraId="3BAF5006" w14:textId="77777777" w:rsidR="00F51317" w:rsidRPr="00585148" w:rsidRDefault="00F51317">
            <w:pPr>
              <w:ind w:left="1"/>
              <w:rPr>
                <w:rFonts w:ascii="Arial" w:hAnsi="Arial" w:cs="Arial"/>
                <w:b/>
              </w:rPr>
            </w:pPr>
            <w:r w:rsidRPr="00585148">
              <w:rPr>
                <w:rFonts w:ascii="Arial" w:hAnsi="Arial" w:cs="Arial"/>
                <w:b/>
              </w:rPr>
              <w:t>Green</w:t>
            </w:r>
          </w:p>
        </w:tc>
        <w:tc>
          <w:tcPr>
            <w:tcW w:w="7938" w:type="dxa"/>
            <w:vAlign w:val="center"/>
          </w:tcPr>
          <w:p w14:paraId="4F9DB711" w14:textId="77777777" w:rsidR="00F51317" w:rsidRPr="00585148" w:rsidRDefault="00F51317">
            <w:pPr>
              <w:keepNext/>
              <w:keepLines/>
              <w:rPr>
                <w:rFonts w:ascii="Arial" w:hAnsi="Arial" w:cs="Arial"/>
              </w:rPr>
            </w:pPr>
            <w:r w:rsidRPr="00585148">
              <w:rPr>
                <w:rFonts w:ascii="Arial" w:hAnsi="Arial" w:cs="Arial"/>
              </w:rPr>
              <w:t xml:space="preserve">On or ahead of programme, or if off track will recover within the </w:t>
            </w:r>
            <w:r w:rsidR="00B774D3">
              <w:rPr>
                <w:rFonts w:ascii="Arial" w:hAnsi="Arial" w:cs="Arial"/>
              </w:rPr>
              <w:t>year</w:t>
            </w:r>
          </w:p>
        </w:tc>
      </w:tr>
      <w:tr w:rsidR="00F51317" w:rsidRPr="001A7D80" w14:paraId="7AC4FFE7" w14:textId="77777777" w:rsidTr="00A61154">
        <w:trPr>
          <w:trHeight w:hRule="exact" w:val="454"/>
        </w:trPr>
        <w:tc>
          <w:tcPr>
            <w:tcW w:w="992" w:type="dxa"/>
            <w:shd w:val="clear" w:color="auto" w:fill="00CCFF"/>
            <w:vAlign w:val="center"/>
          </w:tcPr>
          <w:p w14:paraId="3673D436" w14:textId="77777777" w:rsidR="00F51317" w:rsidRPr="00585148" w:rsidRDefault="00F51317">
            <w:pPr>
              <w:ind w:left="1"/>
              <w:rPr>
                <w:rFonts w:cs="Arial"/>
                <w:bCs/>
              </w:rPr>
            </w:pPr>
            <w:r w:rsidRPr="00585148">
              <w:rPr>
                <w:rFonts w:ascii="Arial" w:hAnsi="Arial" w:cs="Arial"/>
                <w:b/>
              </w:rPr>
              <w:t>Blue</w:t>
            </w:r>
          </w:p>
        </w:tc>
        <w:tc>
          <w:tcPr>
            <w:tcW w:w="7938" w:type="dxa"/>
            <w:vAlign w:val="center"/>
          </w:tcPr>
          <w:p w14:paraId="14A0E02E" w14:textId="77777777" w:rsidR="00F51317" w:rsidRPr="00585148" w:rsidRDefault="00F51317">
            <w:pPr>
              <w:keepNext/>
              <w:keepLines/>
              <w:rPr>
                <w:rFonts w:ascii="Arial" w:hAnsi="Arial" w:cs="Arial"/>
              </w:rPr>
            </w:pPr>
            <w:r w:rsidRPr="00585148">
              <w:rPr>
                <w:rFonts w:ascii="Arial" w:hAnsi="Arial" w:cs="Arial"/>
              </w:rPr>
              <w:t>Output complete</w:t>
            </w:r>
          </w:p>
        </w:tc>
      </w:tr>
    </w:tbl>
    <w:p w14:paraId="729A2DC9" w14:textId="77777777" w:rsidR="00D80506" w:rsidRDefault="00D80506" w:rsidP="00441F25">
      <w:pPr>
        <w:spacing w:after="0"/>
        <w:jc w:val="both"/>
        <w:rPr>
          <w:rFonts w:ascii="Arial" w:hAnsi="Arial" w:cs="Arial"/>
        </w:rPr>
      </w:pPr>
    </w:p>
    <w:p w14:paraId="1FDB7560" w14:textId="77777777" w:rsidR="005E0D81" w:rsidRDefault="005E0D81">
      <w:pPr>
        <w:spacing w:after="0" w:line="240" w:lineRule="auto"/>
        <w:rPr>
          <w:rFonts w:ascii="Arial" w:hAnsi="Arial" w:cs="Arial"/>
        </w:rPr>
      </w:pPr>
      <w:r>
        <w:rPr>
          <w:rFonts w:ascii="Arial" w:hAnsi="Arial" w:cs="Arial"/>
        </w:rPr>
        <w:br w:type="page"/>
      </w:r>
    </w:p>
    <w:p w14:paraId="4132B95E" w14:textId="77777777" w:rsidR="00BF50E9" w:rsidRPr="007E4460" w:rsidRDefault="00EA35FC" w:rsidP="00BF50E9">
      <w:pPr>
        <w:spacing w:after="0"/>
        <w:jc w:val="both"/>
        <w:rPr>
          <w:rFonts w:ascii="Arial" w:hAnsi="Arial" w:cs="Arial"/>
          <w:b/>
        </w:rPr>
      </w:pPr>
      <w:r>
        <w:rPr>
          <w:rFonts w:ascii="Arial" w:hAnsi="Arial" w:cs="Arial"/>
          <w:b/>
        </w:rPr>
        <w:lastRenderedPageBreak/>
        <w:t xml:space="preserve">2.  </w:t>
      </w:r>
      <w:r w:rsidR="00BF50E9" w:rsidRPr="00B70EE3">
        <w:rPr>
          <w:rFonts w:ascii="Arial" w:hAnsi="Arial" w:cs="Arial"/>
          <w:b/>
        </w:rPr>
        <w:t>Providing</w:t>
      </w:r>
      <w:r w:rsidR="00BF50E9" w:rsidRPr="007E4460">
        <w:rPr>
          <w:rFonts w:ascii="Arial" w:hAnsi="Arial" w:cs="Arial"/>
          <w:b/>
        </w:rPr>
        <w:t xml:space="preserve"> continuous high quality drinking water</w:t>
      </w:r>
    </w:p>
    <w:p w14:paraId="51FE2EA7" w14:textId="77777777" w:rsidR="006A7FC8" w:rsidRPr="000521FA" w:rsidRDefault="006A7FC8" w:rsidP="00171907">
      <w:pPr>
        <w:spacing w:after="0" w:line="240" w:lineRule="auto"/>
        <w:jc w:val="both"/>
        <w:rPr>
          <w:rFonts w:ascii="Arial" w:hAnsi="Arial" w:cs="Arial"/>
          <w:sz w:val="16"/>
          <w:szCs w:val="16"/>
        </w:rPr>
      </w:pPr>
    </w:p>
    <w:p w14:paraId="1F509EE7" w14:textId="77777777" w:rsidR="006A7FC8" w:rsidRDefault="006A7FC8" w:rsidP="00CC18E4">
      <w:pPr>
        <w:spacing w:after="0"/>
        <w:ind w:right="-896"/>
        <w:jc w:val="both"/>
        <w:rPr>
          <w:rFonts w:ascii="Arial" w:hAnsi="Arial" w:cs="Arial"/>
        </w:rPr>
      </w:pPr>
      <w:r w:rsidRPr="000652C2">
        <w:rPr>
          <w:rFonts w:ascii="Arial" w:hAnsi="Arial" w:cs="Arial"/>
        </w:rPr>
        <w:t xml:space="preserve">Scottish Water </w:t>
      </w:r>
      <w:r w:rsidR="005D6278">
        <w:rPr>
          <w:rFonts w:ascii="Arial" w:hAnsi="Arial" w:cs="Arial"/>
        </w:rPr>
        <w:t>is undertaking</w:t>
      </w:r>
      <w:r w:rsidRPr="000652C2">
        <w:rPr>
          <w:rFonts w:ascii="Arial" w:hAnsi="Arial" w:cs="Arial"/>
        </w:rPr>
        <w:t xml:space="preserve"> work associated with the 10 programme </w:t>
      </w:r>
      <w:r>
        <w:rPr>
          <w:rFonts w:ascii="Arial" w:hAnsi="Arial" w:cs="Arial"/>
        </w:rPr>
        <w:t xml:space="preserve">areas in the table below. </w:t>
      </w:r>
    </w:p>
    <w:p w14:paraId="72ECBC69" w14:textId="77777777" w:rsidR="006A7FC8" w:rsidRPr="000521FA" w:rsidRDefault="006A7FC8" w:rsidP="00171907">
      <w:pPr>
        <w:spacing w:after="0" w:line="240" w:lineRule="auto"/>
        <w:jc w:val="both"/>
        <w:rPr>
          <w:rFonts w:ascii="Arial" w:hAnsi="Arial" w:cs="Arial"/>
          <w:sz w:val="16"/>
          <w:szCs w:val="16"/>
        </w:rPr>
      </w:pPr>
    </w:p>
    <w:tbl>
      <w:tblPr>
        <w:tblW w:w="92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3"/>
        <w:gridCol w:w="2978"/>
        <w:gridCol w:w="850"/>
        <w:gridCol w:w="851"/>
        <w:gridCol w:w="851"/>
        <w:gridCol w:w="1055"/>
        <w:gridCol w:w="1497"/>
      </w:tblGrid>
      <w:tr w:rsidR="0025204A" w:rsidRPr="00C54741" w14:paraId="173051D5" w14:textId="77777777" w:rsidTr="0025204A">
        <w:trPr>
          <w:trHeight w:val="527"/>
        </w:trPr>
        <w:tc>
          <w:tcPr>
            <w:tcW w:w="1133" w:type="dxa"/>
            <w:tcBorders>
              <w:top w:val="single" w:sz="12" w:space="0" w:color="000000"/>
              <w:left w:val="single" w:sz="12" w:space="0" w:color="000000"/>
              <w:bottom w:val="single" w:sz="12" w:space="0" w:color="000000"/>
            </w:tcBorders>
            <w:shd w:val="clear" w:color="auto" w:fill="E0EDF9"/>
            <w:vAlign w:val="center"/>
          </w:tcPr>
          <w:p w14:paraId="7F0506B2" w14:textId="77777777" w:rsidR="008C648D" w:rsidRPr="00C54741" w:rsidRDefault="008C648D" w:rsidP="005D55BB">
            <w:pPr>
              <w:spacing w:after="0" w:line="240" w:lineRule="auto"/>
              <w:rPr>
                <w:rFonts w:ascii="Arial" w:hAnsi="Arial" w:cs="Arial"/>
                <w:b/>
                <w:bCs/>
                <w:sz w:val="18"/>
                <w:szCs w:val="18"/>
              </w:rPr>
            </w:pPr>
            <w:r>
              <w:rPr>
                <w:rFonts w:ascii="Arial" w:hAnsi="Arial" w:cs="Arial"/>
                <w:b/>
                <w:bCs/>
                <w:sz w:val="18"/>
                <w:szCs w:val="18"/>
              </w:rPr>
              <w:t>Objective</w:t>
            </w:r>
          </w:p>
        </w:tc>
        <w:tc>
          <w:tcPr>
            <w:tcW w:w="2978" w:type="dxa"/>
            <w:tcBorders>
              <w:top w:val="single" w:sz="12" w:space="0" w:color="000000"/>
              <w:bottom w:val="single" w:sz="12" w:space="0" w:color="000000"/>
            </w:tcBorders>
            <w:shd w:val="clear" w:color="auto" w:fill="E0EDF9"/>
            <w:vAlign w:val="center"/>
          </w:tcPr>
          <w:p w14:paraId="7EDED2EC" w14:textId="77777777" w:rsidR="008C648D" w:rsidRPr="00C54741" w:rsidRDefault="008C648D" w:rsidP="005D55BB">
            <w:pPr>
              <w:spacing w:after="0" w:line="240" w:lineRule="auto"/>
              <w:rPr>
                <w:rFonts w:ascii="Arial" w:hAnsi="Arial" w:cs="Arial"/>
                <w:b/>
                <w:bCs/>
                <w:sz w:val="18"/>
                <w:szCs w:val="18"/>
              </w:rPr>
            </w:pPr>
            <w:r>
              <w:rPr>
                <w:rFonts w:ascii="Arial" w:hAnsi="Arial" w:cs="Arial"/>
                <w:b/>
                <w:bCs/>
                <w:sz w:val="18"/>
                <w:szCs w:val="18"/>
              </w:rPr>
              <w:t>Quarterly monitored programme areas</w:t>
            </w:r>
          </w:p>
        </w:tc>
        <w:tc>
          <w:tcPr>
            <w:tcW w:w="850" w:type="dxa"/>
            <w:tcBorders>
              <w:top w:val="single" w:sz="12" w:space="0" w:color="000000"/>
              <w:bottom w:val="single" w:sz="12" w:space="0" w:color="000000"/>
            </w:tcBorders>
            <w:shd w:val="clear" w:color="auto" w:fill="E0EDF9"/>
            <w:vAlign w:val="center"/>
          </w:tcPr>
          <w:p w14:paraId="454E961B" w14:textId="77777777" w:rsidR="008C648D" w:rsidRDefault="008C648D" w:rsidP="005D55BB">
            <w:pPr>
              <w:spacing w:before="60" w:after="60" w:line="240" w:lineRule="auto"/>
              <w:jc w:val="center"/>
              <w:rPr>
                <w:rFonts w:ascii="Arial" w:hAnsi="Arial" w:cs="Arial"/>
                <w:b/>
                <w:bCs/>
                <w:sz w:val="18"/>
                <w:szCs w:val="18"/>
              </w:rPr>
            </w:pPr>
            <w:proofErr w:type="spellStart"/>
            <w:r>
              <w:rPr>
                <w:rFonts w:ascii="Arial" w:hAnsi="Arial" w:cs="Arial"/>
                <w:b/>
                <w:bCs/>
                <w:sz w:val="18"/>
                <w:szCs w:val="18"/>
              </w:rPr>
              <w:t>Q2</w:t>
            </w:r>
            <w:proofErr w:type="spellEnd"/>
            <w:r>
              <w:rPr>
                <w:rFonts w:ascii="Arial" w:hAnsi="Arial" w:cs="Arial"/>
                <w:b/>
                <w:bCs/>
                <w:sz w:val="18"/>
                <w:szCs w:val="18"/>
              </w:rPr>
              <w:br/>
              <w:t>Actual</w:t>
            </w:r>
          </w:p>
        </w:tc>
        <w:tc>
          <w:tcPr>
            <w:tcW w:w="851" w:type="dxa"/>
            <w:tcBorders>
              <w:top w:val="single" w:sz="12" w:space="0" w:color="000000"/>
              <w:left w:val="single" w:sz="4" w:space="0" w:color="auto"/>
              <w:bottom w:val="single" w:sz="12" w:space="0" w:color="000000"/>
            </w:tcBorders>
            <w:shd w:val="clear" w:color="auto" w:fill="E0EDF9"/>
            <w:vAlign w:val="center"/>
          </w:tcPr>
          <w:p w14:paraId="72E152B6" w14:textId="77777777" w:rsidR="008C648D" w:rsidRPr="00F118AB" w:rsidRDefault="008C648D">
            <w:pPr>
              <w:spacing w:before="60" w:after="60" w:line="240" w:lineRule="auto"/>
              <w:jc w:val="center"/>
              <w:rPr>
                <w:rFonts w:ascii="Arial" w:hAnsi="Arial" w:cs="Arial"/>
                <w:b/>
                <w:bCs/>
                <w:sz w:val="18"/>
                <w:szCs w:val="18"/>
              </w:rPr>
            </w:pPr>
            <w:r>
              <w:rPr>
                <w:rFonts w:ascii="Arial" w:hAnsi="Arial" w:cs="Arial"/>
                <w:b/>
                <w:bCs/>
                <w:sz w:val="18"/>
                <w:szCs w:val="18"/>
              </w:rPr>
              <w:t>Q3</w:t>
            </w:r>
            <w:r>
              <w:rPr>
                <w:rFonts w:ascii="Arial" w:hAnsi="Arial" w:cs="Arial"/>
                <w:b/>
                <w:bCs/>
                <w:sz w:val="18"/>
                <w:szCs w:val="18"/>
              </w:rPr>
              <w:br/>
              <w:t>Actual</w:t>
            </w:r>
          </w:p>
        </w:tc>
        <w:tc>
          <w:tcPr>
            <w:tcW w:w="851" w:type="dxa"/>
            <w:tcBorders>
              <w:top w:val="single" w:sz="12" w:space="0" w:color="000000"/>
              <w:bottom w:val="single" w:sz="12" w:space="0" w:color="000000"/>
            </w:tcBorders>
            <w:shd w:val="clear" w:color="auto" w:fill="E0EDF9"/>
            <w:vAlign w:val="center"/>
          </w:tcPr>
          <w:p w14:paraId="492F0634" w14:textId="77777777" w:rsidR="008C648D" w:rsidRDefault="008C648D" w:rsidP="00E9676A">
            <w:pPr>
              <w:spacing w:before="60" w:after="60" w:line="240" w:lineRule="auto"/>
              <w:jc w:val="center"/>
              <w:rPr>
                <w:rFonts w:ascii="Arial" w:hAnsi="Arial" w:cs="Arial"/>
                <w:b/>
                <w:bCs/>
                <w:sz w:val="18"/>
                <w:szCs w:val="18"/>
              </w:rPr>
            </w:pPr>
            <w:proofErr w:type="spellStart"/>
            <w:r>
              <w:rPr>
                <w:rFonts w:ascii="Arial" w:hAnsi="Arial" w:cs="Arial"/>
                <w:b/>
                <w:bCs/>
                <w:sz w:val="18"/>
                <w:szCs w:val="18"/>
              </w:rPr>
              <w:t>Year end</w:t>
            </w:r>
            <w:proofErr w:type="spellEnd"/>
            <w:r>
              <w:rPr>
                <w:rFonts w:ascii="Arial" w:hAnsi="Arial" w:cs="Arial"/>
                <w:b/>
                <w:bCs/>
                <w:sz w:val="18"/>
                <w:szCs w:val="18"/>
              </w:rPr>
              <w:br/>
              <w:t>target</w:t>
            </w:r>
          </w:p>
        </w:tc>
        <w:tc>
          <w:tcPr>
            <w:tcW w:w="1055" w:type="dxa"/>
            <w:tcBorders>
              <w:top w:val="single" w:sz="12" w:space="0" w:color="000000"/>
              <w:bottom w:val="single" w:sz="12" w:space="0" w:color="000000"/>
              <w:right w:val="single" w:sz="12" w:space="0" w:color="000000"/>
            </w:tcBorders>
            <w:shd w:val="clear" w:color="auto" w:fill="E0EDF9"/>
            <w:vAlign w:val="center"/>
          </w:tcPr>
          <w:p w14:paraId="2C0DDCEC" w14:textId="77777777" w:rsidR="008C648D" w:rsidRPr="00C54741" w:rsidRDefault="008C648D" w:rsidP="005D55BB">
            <w:pPr>
              <w:spacing w:before="60" w:after="60" w:line="240" w:lineRule="auto"/>
              <w:jc w:val="center"/>
              <w:rPr>
                <w:sz w:val="18"/>
                <w:szCs w:val="18"/>
              </w:rPr>
            </w:pPr>
            <w:r>
              <w:rPr>
                <w:rFonts w:ascii="Arial" w:hAnsi="Arial" w:cs="Arial"/>
                <w:b/>
                <w:bCs/>
                <w:sz w:val="18"/>
                <w:szCs w:val="18"/>
              </w:rPr>
              <w:t>Forecast</w:t>
            </w:r>
            <w:r w:rsidRPr="00C54741">
              <w:rPr>
                <w:rFonts w:ascii="Arial" w:hAnsi="Arial" w:cs="Arial"/>
                <w:b/>
                <w:bCs/>
                <w:sz w:val="18"/>
                <w:szCs w:val="18"/>
              </w:rPr>
              <w:t xml:space="preserve"> </w:t>
            </w:r>
            <w:r>
              <w:rPr>
                <w:rFonts w:ascii="Arial" w:hAnsi="Arial" w:cs="Arial"/>
                <w:b/>
                <w:bCs/>
                <w:sz w:val="18"/>
                <w:szCs w:val="18"/>
              </w:rPr>
              <w:t xml:space="preserve"> year end</w:t>
            </w:r>
            <w:r>
              <w:rPr>
                <w:rFonts w:ascii="Arial" w:hAnsi="Arial" w:cs="Arial"/>
                <w:b/>
                <w:bCs/>
                <w:sz w:val="18"/>
                <w:szCs w:val="18"/>
              </w:rPr>
              <w:br/>
              <w:t xml:space="preserve">status </w:t>
            </w:r>
          </w:p>
        </w:tc>
        <w:tc>
          <w:tcPr>
            <w:tcW w:w="1497" w:type="dxa"/>
            <w:tcBorders>
              <w:top w:val="single" w:sz="12" w:space="0" w:color="000000"/>
              <w:bottom w:val="single" w:sz="12" w:space="0" w:color="000000"/>
              <w:right w:val="single" w:sz="12" w:space="0" w:color="000000"/>
            </w:tcBorders>
            <w:shd w:val="clear" w:color="auto" w:fill="E0EDF9"/>
          </w:tcPr>
          <w:p w14:paraId="2AE11005" w14:textId="77777777" w:rsidR="008C648D" w:rsidRDefault="008C648D" w:rsidP="00E9676A">
            <w:pPr>
              <w:spacing w:before="60" w:after="60" w:line="240" w:lineRule="auto"/>
              <w:jc w:val="center"/>
              <w:rPr>
                <w:rFonts w:ascii="Arial" w:hAnsi="Arial" w:cs="Arial"/>
                <w:b/>
                <w:bCs/>
                <w:sz w:val="18"/>
                <w:szCs w:val="18"/>
              </w:rPr>
            </w:pPr>
            <w:r>
              <w:rPr>
                <w:rFonts w:ascii="Arial" w:hAnsi="Arial" w:cs="Arial"/>
                <w:b/>
                <w:bCs/>
                <w:sz w:val="18"/>
                <w:szCs w:val="18"/>
              </w:rPr>
              <w:t xml:space="preserve">Total number of outputs over the regulatory period </w:t>
            </w:r>
          </w:p>
        </w:tc>
      </w:tr>
      <w:tr w:rsidR="008C648D" w:rsidRPr="00B87486" w14:paraId="6BEE095C" w14:textId="77777777" w:rsidTr="00BB3898">
        <w:trPr>
          <w:trHeight w:val="312"/>
        </w:trPr>
        <w:tc>
          <w:tcPr>
            <w:tcW w:w="1133" w:type="dxa"/>
            <w:vMerge w:val="restart"/>
            <w:tcBorders>
              <w:top w:val="single" w:sz="12" w:space="0" w:color="000000"/>
              <w:left w:val="single" w:sz="12" w:space="0" w:color="000000"/>
              <w:bottom w:val="single" w:sz="12" w:space="0" w:color="000000"/>
            </w:tcBorders>
            <w:vAlign w:val="center"/>
          </w:tcPr>
          <w:p w14:paraId="33C00CD4" w14:textId="77777777" w:rsidR="008C648D" w:rsidRPr="005279C8" w:rsidRDefault="008C648D" w:rsidP="00C82CD7">
            <w:pPr>
              <w:spacing w:after="0"/>
              <w:rPr>
                <w:rFonts w:ascii="Arial" w:hAnsi="Arial" w:cs="Arial"/>
                <w:sz w:val="16"/>
                <w:szCs w:val="16"/>
              </w:rPr>
            </w:pPr>
            <w:r w:rsidRPr="00191E39">
              <w:rPr>
                <w:rFonts w:ascii="Arial" w:hAnsi="Arial" w:cs="Arial"/>
                <w:sz w:val="16"/>
                <w:szCs w:val="16"/>
              </w:rPr>
              <w:t>Drinking water quality</w:t>
            </w:r>
            <w:r w:rsidRPr="005279C8">
              <w:rPr>
                <w:rFonts w:ascii="Arial" w:hAnsi="Arial" w:cs="Arial"/>
                <w:sz w:val="16"/>
                <w:szCs w:val="16"/>
              </w:rPr>
              <w:t xml:space="preserve"> and reliability</w:t>
            </w:r>
          </w:p>
        </w:tc>
        <w:tc>
          <w:tcPr>
            <w:tcW w:w="2978" w:type="dxa"/>
            <w:tcBorders>
              <w:top w:val="single" w:sz="12" w:space="0" w:color="000000"/>
            </w:tcBorders>
            <w:vAlign w:val="center"/>
          </w:tcPr>
          <w:p w14:paraId="69B9008C" w14:textId="77777777" w:rsidR="008C648D" w:rsidRPr="0001089F" w:rsidRDefault="008C648D" w:rsidP="00C82CD7">
            <w:pPr>
              <w:spacing w:after="0"/>
              <w:rPr>
                <w:rFonts w:ascii="Arial" w:hAnsi="Arial" w:cs="Arial"/>
                <w:sz w:val="16"/>
                <w:szCs w:val="16"/>
              </w:rPr>
            </w:pPr>
            <w:r w:rsidRPr="002F3F4B">
              <w:rPr>
                <w:rFonts w:ascii="Arial" w:hAnsi="Arial" w:cs="Arial"/>
                <w:sz w:val="16"/>
                <w:szCs w:val="16"/>
              </w:rPr>
              <w:t>Number of water treatm</w:t>
            </w:r>
            <w:r w:rsidRPr="0001089F">
              <w:rPr>
                <w:rFonts w:ascii="Arial" w:hAnsi="Arial" w:cs="Arial"/>
                <w:sz w:val="16"/>
                <w:szCs w:val="16"/>
              </w:rPr>
              <w:t xml:space="preserve">ent works improved </w:t>
            </w:r>
          </w:p>
        </w:tc>
        <w:tc>
          <w:tcPr>
            <w:tcW w:w="3607" w:type="dxa"/>
            <w:gridSpan w:val="4"/>
            <w:vMerge w:val="restart"/>
            <w:tcBorders>
              <w:top w:val="single" w:sz="12" w:space="0" w:color="000000"/>
              <w:left w:val="single" w:sz="4" w:space="0" w:color="auto"/>
              <w:right w:val="single" w:sz="12" w:space="0" w:color="000000"/>
            </w:tcBorders>
            <w:shd w:val="clear" w:color="auto" w:fill="auto"/>
            <w:vAlign w:val="center"/>
          </w:tcPr>
          <w:p w14:paraId="7956EB66" w14:textId="77777777" w:rsidR="008C648D" w:rsidRPr="00BB7E55" w:rsidRDefault="008C648D" w:rsidP="00BF4C5A">
            <w:pPr>
              <w:spacing w:after="0" w:line="240" w:lineRule="auto"/>
              <w:jc w:val="center"/>
              <w:rPr>
                <w:rFonts w:ascii="Arial" w:hAnsi="Arial" w:cs="Arial"/>
                <w:bCs/>
                <w:sz w:val="16"/>
                <w:szCs w:val="16"/>
              </w:rPr>
            </w:pPr>
            <w:r>
              <w:rPr>
                <w:rFonts w:ascii="Arial" w:hAnsi="Arial" w:cs="Arial"/>
                <w:bCs/>
                <w:sz w:val="16"/>
                <w:szCs w:val="16"/>
              </w:rPr>
              <w:t xml:space="preserve">No outputs are planned to achieve </w:t>
            </w:r>
            <w:r>
              <w:rPr>
                <w:rFonts w:ascii="Arial" w:hAnsi="Arial" w:cs="Arial"/>
                <w:bCs/>
                <w:sz w:val="16"/>
                <w:szCs w:val="16"/>
              </w:rPr>
              <w:br/>
              <w:t>regulatory acceptance in 2015/16</w:t>
            </w:r>
          </w:p>
        </w:tc>
        <w:tc>
          <w:tcPr>
            <w:tcW w:w="1497" w:type="dxa"/>
            <w:tcBorders>
              <w:top w:val="single" w:sz="12" w:space="0" w:color="000000"/>
              <w:left w:val="single" w:sz="12" w:space="0" w:color="000000"/>
              <w:right w:val="single" w:sz="12" w:space="0" w:color="000000"/>
            </w:tcBorders>
            <w:vAlign w:val="center"/>
          </w:tcPr>
          <w:p w14:paraId="1691A184" w14:textId="77777777" w:rsidR="008C648D" w:rsidRPr="00A64606" w:rsidRDefault="008C648D" w:rsidP="00737AFE">
            <w:pPr>
              <w:spacing w:after="0" w:line="240" w:lineRule="auto"/>
              <w:jc w:val="center"/>
              <w:rPr>
                <w:rFonts w:ascii="Arial" w:hAnsi="Arial" w:cs="Arial"/>
                <w:bCs/>
                <w:sz w:val="16"/>
                <w:szCs w:val="16"/>
              </w:rPr>
            </w:pPr>
            <w:r w:rsidRPr="00A64606">
              <w:rPr>
                <w:rFonts w:ascii="Arial" w:hAnsi="Arial" w:cs="Arial"/>
                <w:bCs/>
                <w:sz w:val="16"/>
                <w:szCs w:val="16"/>
              </w:rPr>
              <w:t>28</w:t>
            </w:r>
          </w:p>
        </w:tc>
      </w:tr>
      <w:tr w:rsidR="008C648D" w:rsidRPr="00B87486" w14:paraId="3E26CBB2" w14:textId="77777777" w:rsidTr="00BB3898">
        <w:trPr>
          <w:trHeight w:val="312"/>
        </w:trPr>
        <w:tc>
          <w:tcPr>
            <w:tcW w:w="1133" w:type="dxa"/>
            <w:vMerge/>
            <w:tcBorders>
              <w:top w:val="nil"/>
              <w:left w:val="single" w:sz="12" w:space="0" w:color="000000"/>
              <w:bottom w:val="single" w:sz="12" w:space="0" w:color="000000"/>
            </w:tcBorders>
            <w:vAlign w:val="center"/>
          </w:tcPr>
          <w:p w14:paraId="25EA0868" w14:textId="77777777" w:rsidR="008C648D" w:rsidRPr="005279C8" w:rsidRDefault="008C648D" w:rsidP="00C82CD7">
            <w:pPr>
              <w:spacing w:after="0"/>
              <w:rPr>
                <w:rFonts w:ascii="Arial" w:hAnsi="Arial" w:cs="Arial"/>
                <w:sz w:val="16"/>
                <w:szCs w:val="16"/>
              </w:rPr>
            </w:pPr>
          </w:p>
        </w:tc>
        <w:tc>
          <w:tcPr>
            <w:tcW w:w="2978" w:type="dxa"/>
            <w:vAlign w:val="center"/>
          </w:tcPr>
          <w:p w14:paraId="1E514C89" w14:textId="77777777" w:rsidR="008C648D" w:rsidRPr="0001089F" w:rsidRDefault="008C648D" w:rsidP="00C82CD7">
            <w:pPr>
              <w:spacing w:after="0"/>
              <w:rPr>
                <w:rFonts w:ascii="Arial" w:hAnsi="Arial" w:cs="Arial"/>
                <w:sz w:val="16"/>
                <w:szCs w:val="16"/>
              </w:rPr>
            </w:pPr>
            <w:r w:rsidRPr="002F3F4B">
              <w:rPr>
                <w:rFonts w:ascii="Arial" w:hAnsi="Arial" w:cs="Arial"/>
                <w:sz w:val="16"/>
                <w:szCs w:val="16"/>
              </w:rPr>
              <w:t>Number of zones made compliant with iron &amp; manganese standards</w:t>
            </w:r>
          </w:p>
        </w:tc>
        <w:tc>
          <w:tcPr>
            <w:tcW w:w="3607" w:type="dxa"/>
            <w:gridSpan w:val="4"/>
            <w:vMerge/>
            <w:tcBorders>
              <w:left w:val="single" w:sz="4" w:space="0" w:color="auto"/>
              <w:right w:val="single" w:sz="12" w:space="0" w:color="000000"/>
            </w:tcBorders>
            <w:shd w:val="clear" w:color="auto" w:fill="auto"/>
            <w:vAlign w:val="center"/>
          </w:tcPr>
          <w:p w14:paraId="2FF1D393" w14:textId="77777777" w:rsidR="008C648D" w:rsidRPr="00BB7E55" w:rsidRDefault="008C648D" w:rsidP="00737AFE">
            <w:pPr>
              <w:spacing w:after="0" w:line="240" w:lineRule="auto"/>
              <w:jc w:val="center"/>
              <w:rPr>
                <w:rFonts w:ascii="Arial" w:hAnsi="Arial" w:cs="Arial"/>
                <w:bCs/>
                <w:sz w:val="16"/>
                <w:szCs w:val="16"/>
              </w:rPr>
            </w:pPr>
          </w:p>
        </w:tc>
        <w:tc>
          <w:tcPr>
            <w:tcW w:w="1497" w:type="dxa"/>
            <w:tcBorders>
              <w:left w:val="single" w:sz="12" w:space="0" w:color="000000"/>
              <w:right w:val="single" w:sz="12" w:space="0" w:color="000000"/>
            </w:tcBorders>
            <w:vAlign w:val="center"/>
          </w:tcPr>
          <w:p w14:paraId="6B4E83E5" w14:textId="77777777" w:rsidR="008C648D" w:rsidRPr="00A64606" w:rsidRDefault="008C648D" w:rsidP="00737AFE">
            <w:pPr>
              <w:spacing w:after="0" w:line="240" w:lineRule="auto"/>
              <w:jc w:val="center"/>
              <w:rPr>
                <w:rFonts w:ascii="Arial" w:hAnsi="Arial" w:cs="Arial"/>
                <w:bCs/>
                <w:sz w:val="16"/>
                <w:szCs w:val="16"/>
              </w:rPr>
            </w:pPr>
            <w:r w:rsidRPr="00A64606">
              <w:rPr>
                <w:rFonts w:ascii="Arial" w:hAnsi="Arial" w:cs="Arial"/>
                <w:bCs/>
                <w:sz w:val="16"/>
                <w:szCs w:val="16"/>
              </w:rPr>
              <w:t>88</w:t>
            </w:r>
          </w:p>
        </w:tc>
      </w:tr>
      <w:tr w:rsidR="008C648D" w:rsidRPr="00B87486" w14:paraId="1F400120" w14:textId="77777777" w:rsidTr="00BB3898">
        <w:trPr>
          <w:trHeight w:val="312"/>
        </w:trPr>
        <w:tc>
          <w:tcPr>
            <w:tcW w:w="1133" w:type="dxa"/>
            <w:vMerge/>
            <w:tcBorders>
              <w:top w:val="nil"/>
              <w:left w:val="single" w:sz="12" w:space="0" w:color="000000"/>
              <w:bottom w:val="single" w:sz="12" w:space="0" w:color="000000"/>
            </w:tcBorders>
            <w:vAlign w:val="center"/>
          </w:tcPr>
          <w:p w14:paraId="71614DE4" w14:textId="77777777" w:rsidR="008C648D" w:rsidRPr="005279C8" w:rsidRDefault="008C648D" w:rsidP="00C82CD7">
            <w:pPr>
              <w:spacing w:after="0"/>
              <w:rPr>
                <w:rFonts w:ascii="Arial" w:hAnsi="Arial" w:cs="Arial"/>
                <w:sz w:val="16"/>
                <w:szCs w:val="16"/>
              </w:rPr>
            </w:pPr>
          </w:p>
        </w:tc>
        <w:tc>
          <w:tcPr>
            <w:tcW w:w="2978" w:type="dxa"/>
            <w:vAlign w:val="center"/>
          </w:tcPr>
          <w:p w14:paraId="3CF6290D" w14:textId="77777777" w:rsidR="008C648D" w:rsidRPr="0001089F" w:rsidRDefault="008C648D" w:rsidP="00FA6448">
            <w:pPr>
              <w:spacing w:after="0"/>
              <w:rPr>
                <w:rFonts w:ascii="Arial" w:hAnsi="Arial" w:cs="Arial"/>
                <w:sz w:val="16"/>
                <w:szCs w:val="16"/>
              </w:rPr>
            </w:pPr>
            <w:r w:rsidRPr="002F3F4B">
              <w:rPr>
                <w:rFonts w:ascii="Arial" w:hAnsi="Arial" w:cs="Arial"/>
                <w:sz w:val="16"/>
                <w:szCs w:val="16"/>
              </w:rPr>
              <w:t xml:space="preserve">Number of </w:t>
            </w:r>
            <w:r>
              <w:rPr>
                <w:rFonts w:ascii="Arial" w:hAnsi="Arial" w:cs="Arial"/>
                <w:sz w:val="16"/>
                <w:szCs w:val="16"/>
              </w:rPr>
              <w:t xml:space="preserve">improvements to </w:t>
            </w:r>
            <w:r w:rsidRPr="0001089F">
              <w:rPr>
                <w:rFonts w:ascii="Arial" w:hAnsi="Arial" w:cs="Arial"/>
                <w:sz w:val="16"/>
                <w:szCs w:val="16"/>
              </w:rPr>
              <w:t>reliability of supply</w:t>
            </w:r>
            <w:r>
              <w:rPr>
                <w:rFonts w:ascii="Arial" w:hAnsi="Arial" w:cs="Arial"/>
                <w:sz w:val="16"/>
                <w:szCs w:val="16"/>
              </w:rPr>
              <w:t xml:space="preserve"> (catchments and treatment)</w:t>
            </w:r>
          </w:p>
        </w:tc>
        <w:tc>
          <w:tcPr>
            <w:tcW w:w="3607" w:type="dxa"/>
            <w:gridSpan w:val="4"/>
            <w:vMerge/>
            <w:tcBorders>
              <w:left w:val="single" w:sz="4" w:space="0" w:color="auto"/>
              <w:right w:val="single" w:sz="12" w:space="0" w:color="000000"/>
            </w:tcBorders>
            <w:shd w:val="clear" w:color="auto" w:fill="auto"/>
            <w:vAlign w:val="center"/>
          </w:tcPr>
          <w:p w14:paraId="4A91B010" w14:textId="77777777" w:rsidR="008C648D" w:rsidRPr="00BB7E55" w:rsidRDefault="008C648D" w:rsidP="00737AFE">
            <w:pPr>
              <w:spacing w:after="0" w:line="240" w:lineRule="auto"/>
              <w:jc w:val="center"/>
              <w:rPr>
                <w:rFonts w:ascii="Arial" w:hAnsi="Arial" w:cs="Arial"/>
                <w:bCs/>
                <w:sz w:val="16"/>
                <w:szCs w:val="16"/>
              </w:rPr>
            </w:pPr>
          </w:p>
        </w:tc>
        <w:tc>
          <w:tcPr>
            <w:tcW w:w="1497" w:type="dxa"/>
            <w:tcBorders>
              <w:left w:val="single" w:sz="12" w:space="0" w:color="000000"/>
              <w:bottom w:val="single" w:sz="4" w:space="0" w:color="000000"/>
              <w:right w:val="single" w:sz="12" w:space="0" w:color="000000"/>
            </w:tcBorders>
            <w:vAlign w:val="center"/>
          </w:tcPr>
          <w:p w14:paraId="521C3592" w14:textId="77777777" w:rsidR="008C648D" w:rsidRPr="00A64606" w:rsidRDefault="008C648D" w:rsidP="00737AFE">
            <w:pPr>
              <w:spacing w:after="0" w:line="240" w:lineRule="auto"/>
              <w:jc w:val="center"/>
              <w:rPr>
                <w:rFonts w:ascii="Arial" w:hAnsi="Arial" w:cs="Arial"/>
                <w:bCs/>
                <w:sz w:val="16"/>
                <w:szCs w:val="16"/>
              </w:rPr>
            </w:pPr>
            <w:r w:rsidRPr="00A64606">
              <w:rPr>
                <w:rFonts w:ascii="Arial" w:hAnsi="Arial" w:cs="Arial"/>
                <w:bCs/>
                <w:sz w:val="16"/>
                <w:szCs w:val="16"/>
              </w:rPr>
              <w:t>47</w:t>
            </w:r>
          </w:p>
        </w:tc>
      </w:tr>
      <w:tr w:rsidR="008C648D" w:rsidRPr="00B87486" w14:paraId="56BC15CC" w14:textId="77777777" w:rsidTr="00BB3898">
        <w:trPr>
          <w:trHeight w:val="312"/>
        </w:trPr>
        <w:tc>
          <w:tcPr>
            <w:tcW w:w="1133" w:type="dxa"/>
            <w:vMerge/>
            <w:tcBorders>
              <w:top w:val="nil"/>
              <w:left w:val="single" w:sz="12" w:space="0" w:color="000000"/>
              <w:bottom w:val="single" w:sz="12" w:space="0" w:color="000000"/>
            </w:tcBorders>
            <w:vAlign w:val="center"/>
          </w:tcPr>
          <w:p w14:paraId="7577EF5B" w14:textId="77777777" w:rsidR="008C648D" w:rsidRPr="005279C8" w:rsidRDefault="008C648D" w:rsidP="00C82CD7">
            <w:pPr>
              <w:spacing w:after="0"/>
              <w:rPr>
                <w:rFonts w:ascii="Arial" w:hAnsi="Arial" w:cs="Arial"/>
                <w:sz w:val="16"/>
                <w:szCs w:val="16"/>
              </w:rPr>
            </w:pPr>
          </w:p>
        </w:tc>
        <w:tc>
          <w:tcPr>
            <w:tcW w:w="2978" w:type="dxa"/>
            <w:vAlign w:val="center"/>
          </w:tcPr>
          <w:p w14:paraId="152661E2" w14:textId="77777777" w:rsidR="008C648D" w:rsidRPr="0001089F" w:rsidRDefault="008C648D" w:rsidP="00FA6448">
            <w:pPr>
              <w:spacing w:after="0"/>
              <w:rPr>
                <w:rFonts w:ascii="Arial" w:hAnsi="Arial" w:cs="Arial"/>
                <w:sz w:val="16"/>
                <w:szCs w:val="16"/>
              </w:rPr>
            </w:pPr>
            <w:r w:rsidRPr="002F3F4B">
              <w:rPr>
                <w:rFonts w:ascii="Arial" w:hAnsi="Arial" w:cs="Arial"/>
                <w:sz w:val="16"/>
                <w:szCs w:val="16"/>
              </w:rPr>
              <w:t>Number of i</w:t>
            </w:r>
            <w:r>
              <w:rPr>
                <w:rFonts w:ascii="Arial" w:hAnsi="Arial" w:cs="Arial"/>
                <w:sz w:val="16"/>
                <w:szCs w:val="16"/>
              </w:rPr>
              <w:t xml:space="preserve">mprovements to </w:t>
            </w:r>
            <w:r w:rsidRPr="0001089F">
              <w:rPr>
                <w:rFonts w:ascii="Arial" w:hAnsi="Arial" w:cs="Arial"/>
                <w:sz w:val="16"/>
                <w:szCs w:val="16"/>
              </w:rPr>
              <w:t>reliability of supply</w:t>
            </w:r>
            <w:r>
              <w:rPr>
                <w:rFonts w:ascii="Arial" w:hAnsi="Arial" w:cs="Arial"/>
                <w:sz w:val="16"/>
                <w:szCs w:val="16"/>
              </w:rPr>
              <w:t xml:space="preserve"> (networks and storage)</w:t>
            </w:r>
          </w:p>
        </w:tc>
        <w:tc>
          <w:tcPr>
            <w:tcW w:w="3607" w:type="dxa"/>
            <w:gridSpan w:val="4"/>
            <w:vMerge/>
            <w:tcBorders>
              <w:left w:val="single" w:sz="4" w:space="0" w:color="auto"/>
              <w:right w:val="single" w:sz="12" w:space="0" w:color="000000"/>
            </w:tcBorders>
            <w:shd w:val="clear" w:color="auto" w:fill="auto"/>
            <w:vAlign w:val="center"/>
          </w:tcPr>
          <w:p w14:paraId="7C85DD43" w14:textId="77777777" w:rsidR="008C648D" w:rsidRPr="00BB7E55" w:rsidRDefault="008C648D" w:rsidP="00737AFE">
            <w:pPr>
              <w:spacing w:after="0" w:line="240" w:lineRule="auto"/>
              <w:jc w:val="center"/>
              <w:rPr>
                <w:rFonts w:ascii="Arial" w:hAnsi="Arial" w:cs="Arial"/>
                <w:bCs/>
                <w:sz w:val="16"/>
                <w:szCs w:val="16"/>
              </w:rPr>
            </w:pPr>
          </w:p>
        </w:tc>
        <w:tc>
          <w:tcPr>
            <w:tcW w:w="1497" w:type="dxa"/>
            <w:tcBorders>
              <w:left w:val="single" w:sz="12" w:space="0" w:color="000000"/>
              <w:bottom w:val="single" w:sz="4" w:space="0" w:color="000000"/>
              <w:right w:val="single" w:sz="12" w:space="0" w:color="000000"/>
            </w:tcBorders>
            <w:vAlign w:val="center"/>
          </w:tcPr>
          <w:p w14:paraId="36863C17" w14:textId="77777777" w:rsidR="008C648D" w:rsidRPr="00A64606" w:rsidRDefault="008C648D" w:rsidP="007E15A2">
            <w:pPr>
              <w:spacing w:after="0" w:line="240" w:lineRule="auto"/>
              <w:jc w:val="center"/>
              <w:rPr>
                <w:rFonts w:ascii="Arial" w:hAnsi="Arial" w:cs="Arial"/>
                <w:bCs/>
                <w:sz w:val="16"/>
                <w:szCs w:val="16"/>
              </w:rPr>
            </w:pPr>
            <w:r>
              <w:rPr>
                <w:rFonts w:ascii="Arial" w:hAnsi="Arial" w:cs="Arial"/>
                <w:bCs/>
                <w:sz w:val="16"/>
                <w:szCs w:val="16"/>
              </w:rPr>
              <w:t>82</w:t>
            </w:r>
          </w:p>
        </w:tc>
      </w:tr>
      <w:tr w:rsidR="008C648D" w:rsidRPr="00B87486" w14:paraId="6276B649" w14:textId="77777777" w:rsidTr="00BB3898">
        <w:trPr>
          <w:trHeight w:val="203"/>
        </w:trPr>
        <w:tc>
          <w:tcPr>
            <w:tcW w:w="1133" w:type="dxa"/>
            <w:vMerge/>
            <w:tcBorders>
              <w:top w:val="nil"/>
              <w:left w:val="single" w:sz="12" w:space="0" w:color="000000"/>
              <w:bottom w:val="single" w:sz="12" w:space="0" w:color="000000"/>
            </w:tcBorders>
            <w:vAlign w:val="center"/>
          </w:tcPr>
          <w:p w14:paraId="089D0BFA" w14:textId="77777777" w:rsidR="008C648D" w:rsidRPr="005279C8" w:rsidRDefault="008C648D" w:rsidP="00C82CD7">
            <w:pPr>
              <w:spacing w:after="0"/>
              <w:rPr>
                <w:rFonts w:ascii="Arial" w:hAnsi="Arial" w:cs="Arial"/>
                <w:sz w:val="16"/>
                <w:szCs w:val="16"/>
              </w:rPr>
            </w:pPr>
          </w:p>
        </w:tc>
        <w:tc>
          <w:tcPr>
            <w:tcW w:w="2978" w:type="dxa"/>
            <w:tcBorders>
              <w:bottom w:val="single" w:sz="4" w:space="0" w:color="000000"/>
            </w:tcBorders>
            <w:vAlign w:val="center"/>
          </w:tcPr>
          <w:p w14:paraId="0BE139A2" w14:textId="77777777" w:rsidR="008C648D" w:rsidRPr="0001089F" w:rsidRDefault="008C648D" w:rsidP="008C3F46">
            <w:pPr>
              <w:spacing w:after="0"/>
              <w:rPr>
                <w:rFonts w:ascii="Arial" w:hAnsi="Arial" w:cs="Arial"/>
                <w:sz w:val="16"/>
                <w:szCs w:val="16"/>
              </w:rPr>
            </w:pPr>
            <w:r w:rsidRPr="002F3F4B">
              <w:rPr>
                <w:rFonts w:ascii="Arial" w:hAnsi="Arial" w:cs="Arial"/>
                <w:sz w:val="16"/>
                <w:szCs w:val="16"/>
              </w:rPr>
              <w:t xml:space="preserve">Distribution mains </w:t>
            </w:r>
            <w:r>
              <w:rPr>
                <w:rFonts w:ascii="Arial" w:hAnsi="Arial" w:cs="Arial"/>
                <w:sz w:val="16"/>
                <w:szCs w:val="16"/>
              </w:rPr>
              <w:t>cleaned</w:t>
            </w:r>
            <w:r w:rsidRPr="002F3F4B">
              <w:rPr>
                <w:rFonts w:ascii="Arial" w:hAnsi="Arial" w:cs="Arial"/>
                <w:sz w:val="16"/>
                <w:szCs w:val="16"/>
              </w:rPr>
              <w:t xml:space="preserve"> (km)</w:t>
            </w:r>
            <w:r w:rsidRPr="0001089F">
              <w:rPr>
                <w:rFonts w:ascii="Arial" w:hAnsi="Arial" w:cs="Arial"/>
                <w:sz w:val="16"/>
                <w:szCs w:val="16"/>
              </w:rPr>
              <w:t xml:space="preserve"> </w:t>
            </w:r>
          </w:p>
        </w:tc>
        <w:tc>
          <w:tcPr>
            <w:tcW w:w="3607" w:type="dxa"/>
            <w:gridSpan w:val="4"/>
            <w:vMerge/>
            <w:tcBorders>
              <w:left w:val="single" w:sz="4" w:space="0" w:color="auto"/>
              <w:right w:val="single" w:sz="12" w:space="0" w:color="000000"/>
            </w:tcBorders>
            <w:shd w:val="clear" w:color="auto" w:fill="auto"/>
            <w:vAlign w:val="center"/>
          </w:tcPr>
          <w:p w14:paraId="5A6CBE16" w14:textId="77777777" w:rsidR="008C648D" w:rsidRPr="005A35DF" w:rsidRDefault="008C648D" w:rsidP="00737AFE">
            <w:pPr>
              <w:spacing w:after="0" w:line="240" w:lineRule="auto"/>
              <w:jc w:val="center"/>
              <w:rPr>
                <w:rFonts w:ascii="Arial" w:hAnsi="Arial" w:cs="Arial"/>
                <w:bCs/>
                <w:sz w:val="16"/>
                <w:szCs w:val="16"/>
              </w:rPr>
            </w:pPr>
          </w:p>
        </w:tc>
        <w:tc>
          <w:tcPr>
            <w:tcW w:w="1497" w:type="dxa"/>
            <w:tcBorders>
              <w:left w:val="single" w:sz="12" w:space="0" w:color="000000"/>
              <w:bottom w:val="single" w:sz="4" w:space="0" w:color="000000"/>
              <w:right w:val="single" w:sz="12" w:space="0" w:color="000000"/>
            </w:tcBorders>
            <w:vAlign w:val="center"/>
          </w:tcPr>
          <w:p w14:paraId="18C541B7" w14:textId="77777777" w:rsidR="008C648D" w:rsidRPr="00A64606" w:rsidRDefault="008C648D" w:rsidP="00737AFE">
            <w:pPr>
              <w:spacing w:after="0" w:line="240" w:lineRule="auto"/>
              <w:jc w:val="center"/>
              <w:rPr>
                <w:rFonts w:ascii="Arial" w:hAnsi="Arial" w:cs="Arial"/>
                <w:bCs/>
                <w:sz w:val="16"/>
                <w:szCs w:val="16"/>
              </w:rPr>
            </w:pPr>
            <w:r w:rsidRPr="00A64606">
              <w:rPr>
                <w:rFonts w:ascii="Arial" w:hAnsi="Arial" w:cs="Arial"/>
                <w:bCs/>
                <w:sz w:val="16"/>
                <w:szCs w:val="16"/>
              </w:rPr>
              <w:t>5,928</w:t>
            </w:r>
          </w:p>
        </w:tc>
      </w:tr>
      <w:tr w:rsidR="008C648D" w:rsidRPr="00B87486" w14:paraId="30058D26" w14:textId="77777777" w:rsidTr="00BB3898">
        <w:trPr>
          <w:trHeight w:val="312"/>
        </w:trPr>
        <w:tc>
          <w:tcPr>
            <w:tcW w:w="1133" w:type="dxa"/>
            <w:vMerge/>
            <w:tcBorders>
              <w:top w:val="nil"/>
              <w:left w:val="single" w:sz="12" w:space="0" w:color="000000"/>
              <w:bottom w:val="single" w:sz="12" w:space="0" w:color="000000"/>
            </w:tcBorders>
            <w:vAlign w:val="center"/>
          </w:tcPr>
          <w:p w14:paraId="7F3C002F" w14:textId="77777777" w:rsidR="008C648D" w:rsidRPr="005279C8" w:rsidRDefault="008C648D" w:rsidP="00C82CD7">
            <w:pPr>
              <w:spacing w:after="0"/>
              <w:rPr>
                <w:rFonts w:ascii="Arial" w:hAnsi="Arial" w:cs="Arial"/>
                <w:sz w:val="16"/>
                <w:szCs w:val="16"/>
              </w:rPr>
            </w:pPr>
          </w:p>
        </w:tc>
        <w:tc>
          <w:tcPr>
            <w:tcW w:w="2978" w:type="dxa"/>
            <w:tcBorders>
              <w:bottom w:val="single" w:sz="4" w:space="0" w:color="000000"/>
            </w:tcBorders>
            <w:vAlign w:val="center"/>
          </w:tcPr>
          <w:p w14:paraId="3BDFF9F8" w14:textId="77777777" w:rsidR="008C648D" w:rsidRPr="002F3F4B" w:rsidRDefault="008C648D" w:rsidP="00C82CD7">
            <w:pPr>
              <w:spacing w:after="0"/>
              <w:rPr>
                <w:rFonts w:ascii="Arial" w:hAnsi="Arial" w:cs="Arial"/>
                <w:sz w:val="16"/>
                <w:szCs w:val="16"/>
              </w:rPr>
            </w:pPr>
            <w:r w:rsidRPr="002F3F4B">
              <w:rPr>
                <w:rFonts w:ascii="Arial" w:hAnsi="Arial" w:cs="Arial"/>
                <w:sz w:val="16"/>
                <w:szCs w:val="16"/>
              </w:rPr>
              <w:t>Number of water quality etc studies to inform future periods</w:t>
            </w:r>
            <w:r w:rsidRPr="0001089F">
              <w:rPr>
                <w:rFonts w:ascii="Arial" w:hAnsi="Arial" w:cs="Arial"/>
                <w:sz w:val="16"/>
                <w:szCs w:val="16"/>
              </w:rPr>
              <w:t xml:space="preserve"> </w:t>
            </w:r>
          </w:p>
        </w:tc>
        <w:tc>
          <w:tcPr>
            <w:tcW w:w="3607" w:type="dxa"/>
            <w:gridSpan w:val="4"/>
            <w:vMerge/>
            <w:tcBorders>
              <w:left w:val="single" w:sz="4" w:space="0" w:color="auto"/>
              <w:bottom w:val="single" w:sz="4" w:space="0" w:color="000000"/>
              <w:right w:val="single" w:sz="12" w:space="0" w:color="000000"/>
            </w:tcBorders>
            <w:shd w:val="clear" w:color="auto" w:fill="auto"/>
            <w:vAlign w:val="center"/>
          </w:tcPr>
          <w:p w14:paraId="1A857257" w14:textId="77777777" w:rsidR="008C648D" w:rsidRPr="00806B8F" w:rsidRDefault="008C648D" w:rsidP="00737AFE">
            <w:pPr>
              <w:spacing w:after="0" w:line="240" w:lineRule="auto"/>
              <w:jc w:val="center"/>
              <w:rPr>
                <w:rFonts w:ascii="Arial" w:hAnsi="Arial" w:cs="Arial"/>
                <w:bCs/>
                <w:sz w:val="16"/>
                <w:szCs w:val="16"/>
              </w:rPr>
            </w:pPr>
          </w:p>
        </w:tc>
        <w:tc>
          <w:tcPr>
            <w:tcW w:w="1497" w:type="dxa"/>
            <w:tcBorders>
              <w:left w:val="single" w:sz="12" w:space="0" w:color="000000"/>
              <w:bottom w:val="single" w:sz="4" w:space="0" w:color="000000"/>
              <w:right w:val="single" w:sz="12" w:space="0" w:color="000000"/>
            </w:tcBorders>
            <w:vAlign w:val="center"/>
          </w:tcPr>
          <w:p w14:paraId="0C8045E1" w14:textId="77777777" w:rsidR="008C648D" w:rsidRPr="00A64606" w:rsidRDefault="008C648D" w:rsidP="00737AFE">
            <w:pPr>
              <w:spacing w:after="0" w:line="240" w:lineRule="auto"/>
              <w:jc w:val="center"/>
              <w:rPr>
                <w:rFonts w:ascii="Arial" w:hAnsi="Arial" w:cs="Arial"/>
                <w:bCs/>
                <w:sz w:val="16"/>
                <w:szCs w:val="16"/>
              </w:rPr>
            </w:pPr>
            <w:r w:rsidRPr="00A64606">
              <w:rPr>
                <w:rFonts w:ascii="Arial" w:hAnsi="Arial" w:cs="Arial"/>
                <w:bCs/>
                <w:sz w:val="16"/>
                <w:szCs w:val="16"/>
              </w:rPr>
              <w:t>341</w:t>
            </w:r>
          </w:p>
        </w:tc>
      </w:tr>
      <w:tr w:rsidR="008C648D" w:rsidRPr="00B87486" w14:paraId="1FBA7987" w14:textId="77777777" w:rsidTr="00BB3898">
        <w:trPr>
          <w:trHeight w:val="312"/>
        </w:trPr>
        <w:tc>
          <w:tcPr>
            <w:tcW w:w="1133" w:type="dxa"/>
            <w:vMerge/>
            <w:tcBorders>
              <w:top w:val="nil"/>
              <w:left w:val="single" w:sz="12" w:space="0" w:color="000000"/>
              <w:bottom w:val="single" w:sz="12" w:space="0" w:color="000000"/>
            </w:tcBorders>
            <w:vAlign w:val="center"/>
          </w:tcPr>
          <w:p w14:paraId="6004BE6C" w14:textId="77777777" w:rsidR="008C648D" w:rsidRPr="005279C8" w:rsidRDefault="008C648D" w:rsidP="00C82CD7">
            <w:pPr>
              <w:spacing w:after="0"/>
              <w:rPr>
                <w:rFonts w:ascii="Arial" w:hAnsi="Arial" w:cs="Arial"/>
                <w:sz w:val="16"/>
                <w:szCs w:val="16"/>
              </w:rPr>
            </w:pPr>
          </w:p>
        </w:tc>
        <w:tc>
          <w:tcPr>
            <w:tcW w:w="2978" w:type="dxa"/>
            <w:tcBorders>
              <w:bottom w:val="single" w:sz="12" w:space="0" w:color="000000"/>
            </w:tcBorders>
            <w:vAlign w:val="center"/>
          </w:tcPr>
          <w:p w14:paraId="310A2A59" w14:textId="77777777" w:rsidR="008C648D" w:rsidRPr="0001089F" w:rsidRDefault="008C648D" w:rsidP="00C82CD7">
            <w:pPr>
              <w:spacing w:after="0"/>
              <w:rPr>
                <w:rFonts w:ascii="Arial" w:hAnsi="Arial" w:cs="Arial"/>
                <w:sz w:val="16"/>
                <w:szCs w:val="16"/>
              </w:rPr>
            </w:pPr>
            <w:r w:rsidRPr="0001089F">
              <w:rPr>
                <w:rFonts w:ascii="Arial" w:hAnsi="Arial" w:cs="Arial"/>
                <w:sz w:val="16"/>
                <w:szCs w:val="16"/>
              </w:rPr>
              <w:t xml:space="preserve">2010-15 outputs planned to complete in the 2015-21 period </w:t>
            </w:r>
          </w:p>
        </w:tc>
        <w:tc>
          <w:tcPr>
            <w:tcW w:w="850" w:type="dxa"/>
            <w:tcBorders>
              <w:left w:val="single" w:sz="4" w:space="0" w:color="auto"/>
              <w:bottom w:val="single" w:sz="12" w:space="0" w:color="000000"/>
            </w:tcBorders>
            <w:shd w:val="clear" w:color="auto" w:fill="BFBFBF"/>
            <w:vAlign w:val="center"/>
          </w:tcPr>
          <w:p w14:paraId="6E076E7F" w14:textId="77777777" w:rsidR="008C648D" w:rsidRPr="0001089F" w:rsidRDefault="008C648D" w:rsidP="00737AFE">
            <w:pPr>
              <w:spacing w:after="0" w:line="240" w:lineRule="auto"/>
              <w:jc w:val="center"/>
              <w:rPr>
                <w:rFonts w:ascii="Arial" w:hAnsi="Arial" w:cs="Arial"/>
                <w:bCs/>
                <w:sz w:val="16"/>
                <w:szCs w:val="16"/>
              </w:rPr>
            </w:pPr>
            <w:r w:rsidRPr="005F239D">
              <w:rPr>
                <w:rFonts w:ascii="Arial" w:hAnsi="Arial" w:cs="Arial"/>
                <w:color w:val="000000"/>
                <w:sz w:val="16"/>
                <w:szCs w:val="16"/>
              </w:rPr>
              <w:t>0</w:t>
            </w:r>
          </w:p>
        </w:tc>
        <w:tc>
          <w:tcPr>
            <w:tcW w:w="851" w:type="dxa"/>
            <w:tcBorders>
              <w:left w:val="single" w:sz="4" w:space="0" w:color="auto"/>
              <w:bottom w:val="single" w:sz="12" w:space="0" w:color="000000"/>
            </w:tcBorders>
            <w:vAlign w:val="center"/>
          </w:tcPr>
          <w:p w14:paraId="2E26F9FF" w14:textId="77777777" w:rsidR="008C648D" w:rsidRPr="00806B8F" w:rsidRDefault="008C648D" w:rsidP="00737AFE">
            <w:pPr>
              <w:spacing w:after="0" w:line="240" w:lineRule="auto"/>
              <w:jc w:val="center"/>
              <w:rPr>
                <w:rFonts w:ascii="Arial" w:hAnsi="Arial" w:cs="Arial"/>
                <w:bCs/>
                <w:sz w:val="16"/>
                <w:szCs w:val="16"/>
              </w:rPr>
            </w:pPr>
            <w:r w:rsidRPr="00806B8F">
              <w:rPr>
                <w:rFonts w:ascii="Arial" w:hAnsi="Arial" w:cs="Arial"/>
                <w:color w:val="000000"/>
                <w:sz w:val="16"/>
                <w:szCs w:val="16"/>
              </w:rPr>
              <w:t>1</w:t>
            </w:r>
          </w:p>
        </w:tc>
        <w:tc>
          <w:tcPr>
            <w:tcW w:w="851" w:type="dxa"/>
            <w:tcBorders>
              <w:bottom w:val="single" w:sz="12" w:space="0" w:color="000000"/>
            </w:tcBorders>
            <w:vAlign w:val="center"/>
          </w:tcPr>
          <w:p w14:paraId="285168DB" w14:textId="77777777" w:rsidR="008C648D" w:rsidRPr="00806B8F" w:rsidRDefault="008C648D" w:rsidP="00737AFE">
            <w:pPr>
              <w:spacing w:after="0" w:line="240" w:lineRule="auto"/>
              <w:jc w:val="center"/>
              <w:rPr>
                <w:rFonts w:ascii="Arial" w:hAnsi="Arial" w:cs="Arial"/>
                <w:bCs/>
                <w:sz w:val="16"/>
                <w:szCs w:val="16"/>
              </w:rPr>
            </w:pPr>
            <w:r w:rsidRPr="00806B8F">
              <w:rPr>
                <w:rFonts w:ascii="Arial" w:hAnsi="Arial" w:cs="Arial"/>
                <w:bCs/>
                <w:sz w:val="16"/>
                <w:szCs w:val="16"/>
              </w:rPr>
              <w:t>5</w:t>
            </w:r>
          </w:p>
        </w:tc>
        <w:tc>
          <w:tcPr>
            <w:tcW w:w="1055" w:type="dxa"/>
            <w:tcBorders>
              <w:bottom w:val="single" w:sz="12" w:space="0" w:color="000000"/>
              <w:right w:val="single" w:sz="12" w:space="0" w:color="000000"/>
            </w:tcBorders>
            <w:shd w:val="clear" w:color="auto" w:fill="FF0000"/>
            <w:vAlign w:val="center"/>
          </w:tcPr>
          <w:p w14:paraId="56305C65" w14:textId="77777777" w:rsidR="008C648D" w:rsidRPr="00806B8F" w:rsidRDefault="005E5584" w:rsidP="00737AFE">
            <w:pPr>
              <w:spacing w:after="0" w:line="240" w:lineRule="auto"/>
              <w:jc w:val="center"/>
              <w:rPr>
                <w:rFonts w:ascii="Arial" w:hAnsi="Arial" w:cs="Arial"/>
                <w:bCs/>
                <w:sz w:val="16"/>
                <w:szCs w:val="16"/>
              </w:rPr>
            </w:pPr>
            <w:r>
              <w:rPr>
                <w:rFonts w:ascii="Arial" w:hAnsi="Arial" w:cs="Arial"/>
                <w:color w:val="000000"/>
                <w:sz w:val="16"/>
                <w:szCs w:val="16"/>
              </w:rPr>
              <w:t>2 - 3</w:t>
            </w:r>
          </w:p>
        </w:tc>
        <w:tc>
          <w:tcPr>
            <w:tcW w:w="1497" w:type="dxa"/>
            <w:tcBorders>
              <w:bottom w:val="single" w:sz="12" w:space="0" w:color="000000"/>
              <w:right w:val="single" w:sz="12" w:space="0" w:color="000000"/>
            </w:tcBorders>
            <w:vAlign w:val="center"/>
          </w:tcPr>
          <w:p w14:paraId="1855696F" w14:textId="77777777" w:rsidR="008C648D" w:rsidRPr="00A64606" w:rsidRDefault="008C648D" w:rsidP="00737AFE">
            <w:pPr>
              <w:spacing w:after="0" w:line="240" w:lineRule="auto"/>
              <w:jc w:val="center"/>
              <w:rPr>
                <w:rFonts w:ascii="Arial" w:hAnsi="Arial" w:cs="Arial"/>
                <w:bCs/>
                <w:sz w:val="16"/>
                <w:szCs w:val="16"/>
              </w:rPr>
            </w:pPr>
            <w:r w:rsidRPr="00A64606">
              <w:rPr>
                <w:rFonts w:ascii="Arial" w:hAnsi="Arial" w:cs="Arial"/>
                <w:bCs/>
                <w:sz w:val="16"/>
                <w:szCs w:val="16"/>
              </w:rPr>
              <w:t>23</w:t>
            </w:r>
          </w:p>
        </w:tc>
      </w:tr>
      <w:tr w:rsidR="008C648D" w:rsidRPr="00B87486" w14:paraId="2008B4CA" w14:textId="77777777" w:rsidTr="00BB3898">
        <w:trPr>
          <w:trHeight w:val="312"/>
        </w:trPr>
        <w:tc>
          <w:tcPr>
            <w:tcW w:w="1133" w:type="dxa"/>
            <w:vMerge w:val="restart"/>
            <w:tcBorders>
              <w:top w:val="single" w:sz="12" w:space="0" w:color="000000"/>
              <w:left w:val="single" w:sz="12" w:space="0" w:color="000000"/>
              <w:bottom w:val="single" w:sz="12" w:space="0" w:color="000000"/>
            </w:tcBorders>
            <w:vAlign w:val="center"/>
          </w:tcPr>
          <w:p w14:paraId="4FD4FE58" w14:textId="77777777" w:rsidR="008C648D" w:rsidRPr="005279C8" w:rsidRDefault="008C648D" w:rsidP="00C82CD7">
            <w:pPr>
              <w:spacing w:after="0"/>
              <w:rPr>
                <w:rFonts w:ascii="Arial" w:hAnsi="Arial" w:cs="Arial"/>
                <w:sz w:val="16"/>
                <w:szCs w:val="16"/>
              </w:rPr>
            </w:pPr>
            <w:r w:rsidRPr="00191E39">
              <w:rPr>
                <w:rFonts w:ascii="Arial" w:hAnsi="Arial" w:cs="Arial"/>
                <w:sz w:val="16"/>
                <w:szCs w:val="16"/>
              </w:rPr>
              <w:t>Drinking</w:t>
            </w:r>
            <w:r w:rsidRPr="005279C8">
              <w:rPr>
                <w:rFonts w:ascii="Arial" w:hAnsi="Arial" w:cs="Arial"/>
                <w:sz w:val="16"/>
                <w:szCs w:val="16"/>
              </w:rPr>
              <w:t xml:space="preserve"> water security of supply</w:t>
            </w:r>
          </w:p>
        </w:tc>
        <w:tc>
          <w:tcPr>
            <w:tcW w:w="2978" w:type="dxa"/>
            <w:tcBorders>
              <w:top w:val="single" w:sz="12" w:space="0" w:color="000000"/>
            </w:tcBorders>
            <w:vAlign w:val="center"/>
          </w:tcPr>
          <w:p w14:paraId="392E48B1" w14:textId="77777777" w:rsidR="008C648D" w:rsidRPr="0001089F" w:rsidRDefault="008C648D" w:rsidP="00C82CD7">
            <w:pPr>
              <w:spacing w:after="0"/>
              <w:rPr>
                <w:rFonts w:ascii="Arial" w:hAnsi="Arial" w:cs="Arial"/>
                <w:sz w:val="16"/>
                <w:szCs w:val="16"/>
              </w:rPr>
            </w:pPr>
            <w:r w:rsidRPr="002F3F4B">
              <w:rPr>
                <w:rFonts w:ascii="Arial" w:hAnsi="Arial" w:cs="Arial"/>
                <w:sz w:val="16"/>
                <w:szCs w:val="16"/>
              </w:rPr>
              <w:t>Water supply resil</w:t>
            </w:r>
            <w:r w:rsidRPr="0001089F">
              <w:rPr>
                <w:rFonts w:ascii="Arial" w:hAnsi="Arial" w:cs="Arial"/>
                <w:sz w:val="16"/>
                <w:szCs w:val="16"/>
              </w:rPr>
              <w:t xml:space="preserve">ience strategy and improvements made </w:t>
            </w:r>
          </w:p>
        </w:tc>
        <w:tc>
          <w:tcPr>
            <w:tcW w:w="850" w:type="dxa"/>
            <w:tcBorders>
              <w:top w:val="single" w:sz="12" w:space="0" w:color="000000"/>
              <w:left w:val="single" w:sz="4" w:space="0" w:color="auto"/>
            </w:tcBorders>
            <w:shd w:val="clear" w:color="auto" w:fill="BFBFBF"/>
            <w:vAlign w:val="center"/>
          </w:tcPr>
          <w:p w14:paraId="3FA77628" w14:textId="77777777" w:rsidR="008C648D" w:rsidRPr="0001089F" w:rsidRDefault="008C648D" w:rsidP="00737AFE">
            <w:pPr>
              <w:spacing w:after="0" w:line="240" w:lineRule="auto"/>
              <w:jc w:val="center"/>
              <w:rPr>
                <w:rFonts w:ascii="Arial" w:hAnsi="Arial" w:cs="Arial"/>
                <w:bCs/>
                <w:sz w:val="16"/>
                <w:szCs w:val="16"/>
              </w:rPr>
            </w:pPr>
            <w:r w:rsidRPr="005F239D">
              <w:rPr>
                <w:rFonts w:ascii="Arial" w:hAnsi="Arial" w:cs="Arial"/>
                <w:color w:val="000000"/>
                <w:sz w:val="16"/>
                <w:szCs w:val="16"/>
              </w:rPr>
              <w:t>0</w:t>
            </w:r>
          </w:p>
        </w:tc>
        <w:tc>
          <w:tcPr>
            <w:tcW w:w="851" w:type="dxa"/>
            <w:tcBorders>
              <w:top w:val="single" w:sz="12" w:space="0" w:color="000000"/>
              <w:left w:val="single" w:sz="4" w:space="0" w:color="auto"/>
            </w:tcBorders>
            <w:vAlign w:val="center"/>
          </w:tcPr>
          <w:p w14:paraId="166CBDCB" w14:textId="77777777" w:rsidR="008C648D" w:rsidRPr="00C207EB" w:rsidRDefault="008C648D" w:rsidP="00737AFE">
            <w:pPr>
              <w:spacing w:after="0" w:line="240" w:lineRule="auto"/>
              <w:jc w:val="center"/>
              <w:rPr>
                <w:rFonts w:ascii="Arial" w:hAnsi="Arial" w:cs="Arial"/>
                <w:bCs/>
                <w:sz w:val="16"/>
                <w:szCs w:val="16"/>
              </w:rPr>
            </w:pPr>
            <w:r w:rsidRPr="00C207EB">
              <w:rPr>
                <w:rFonts w:ascii="Arial" w:hAnsi="Arial" w:cs="Arial"/>
                <w:color w:val="000000"/>
                <w:sz w:val="16"/>
                <w:szCs w:val="16"/>
              </w:rPr>
              <w:t>0</w:t>
            </w:r>
          </w:p>
        </w:tc>
        <w:tc>
          <w:tcPr>
            <w:tcW w:w="851" w:type="dxa"/>
            <w:tcBorders>
              <w:top w:val="single" w:sz="12" w:space="0" w:color="000000"/>
            </w:tcBorders>
            <w:vAlign w:val="center"/>
          </w:tcPr>
          <w:p w14:paraId="64B9BF61" w14:textId="77777777" w:rsidR="008C648D" w:rsidRPr="00C207EB" w:rsidRDefault="008C648D" w:rsidP="00737AFE">
            <w:pPr>
              <w:spacing w:after="0" w:line="240" w:lineRule="auto"/>
              <w:jc w:val="center"/>
              <w:rPr>
                <w:rFonts w:ascii="Arial" w:hAnsi="Arial" w:cs="Arial"/>
                <w:bCs/>
                <w:sz w:val="16"/>
                <w:szCs w:val="16"/>
              </w:rPr>
            </w:pPr>
            <w:r w:rsidRPr="00C207EB">
              <w:rPr>
                <w:rFonts w:ascii="Arial" w:hAnsi="Arial" w:cs="Arial"/>
                <w:bCs/>
                <w:sz w:val="16"/>
                <w:szCs w:val="16"/>
              </w:rPr>
              <w:t>1</w:t>
            </w:r>
          </w:p>
        </w:tc>
        <w:tc>
          <w:tcPr>
            <w:tcW w:w="1055" w:type="dxa"/>
            <w:tcBorders>
              <w:top w:val="single" w:sz="12" w:space="0" w:color="000000"/>
              <w:bottom w:val="single" w:sz="4" w:space="0" w:color="000000"/>
              <w:right w:val="single" w:sz="12" w:space="0" w:color="000000"/>
            </w:tcBorders>
            <w:shd w:val="clear" w:color="auto" w:fill="99FF66"/>
            <w:vAlign w:val="center"/>
          </w:tcPr>
          <w:p w14:paraId="44EFD3A4" w14:textId="77777777" w:rsidR="008C648D" w:rsidRPr="00C207EB" w:rsidRDefault="008C648D" w:rsidP="00737AFE">
            <w:pPr>
              <w:spacing w:after="0" w:line="240" w:lineRule="auto"/>
              <w:jc w:val="center"/>
              <w:rPr>
                <w:rFonts w:ascii="Arial" w:hAnsi="Arial" w:cs="Arial"/>
                <w:bCs/>
                <w:sz w:val="16"/>
                <w:szCs w:val="16"/>
              </w:rPr>
            </w:pPr>
            <w:r>
              <w:rPr>
                <w:rFonts w:ascii="Arial" w:hAnsi="Arial" w:cs="Arial"/>
                <w:color w:val="000000"/>
                <w:sz w:val="16"/>
                <w:szCs w:val="16"/>
              </w:rPr>
              <w:t>1</w:t>
            </w:r>
            <w:r w:rsidR="005E5584">
              <w:rPr>
                <w:rFonts w:ascii="Arial" w:hAnsi="Arial" w:cs="Arial"/>
                <w:color w:val="000000"/>
                <w:sz w:val="16"/>
                <w:szCs w:val="16"/>
              </w:rPr>
              <w:t xml:space="preserve"> - 2</w:t>
            </w:r>
          </w:p>
        </w:tc>
        <w:tc>
          <w:tcPr>
            <w:tcW w:w="1497" w:type="dxa"/>
            <w:tcBorders>
              <w:top w:val="single" w:sz="12" w:space="0" w:color="000000"/>
              <w:bottom w:val="single" w:sz="4" w:space="0" w:color="000000"/>
              <w:right w:val="single" w:sz="12" w:space="0" w:color="000000"/>
            </w:tcBorders>
            <w:vAlign w:val="center"/>
          </w:tcPr>
          <w:p w14:paraId="3F970788" w14:textId="77777777" w:rsidR="008C648D" w:rsidRPr="00A64606" w:rsidRDefault="008C648D" w:rsidP="00737AFE">
            <w:pPr>
              <w:spacing w:after="0" w:line="240" w:lineRule="auto"/>
              <w:jc w:val="center"/>
              <w:rPr>
                <w:rFonts w:ascii="Arial" w:hAnsi="Arial" w:cs="Arial"/>
                <w:bCs/>
                <w:sz w:val="16"/>
                <w:szCs w:val="16"/>
              </w:rPr>
            </w:pPr>
            <w:r>
              <w:rPr>
                <w:rFonts w:ascii="Arial" w:hAnsi="Arial" w:cs="Arial"/>
                <w:bCs/>
                <w:sz w:val="16"/>
                <w:szCs w:val="16"/>
              </w:rPr>
              <w:t>18</w:t>
            </w:r>
          </w:p>
        </w:tc>
      </w:tr>
      <w:tr w:rsidR="008C648D" w:rsidRPr="00B87486" w14:paraId="5B2E7326" w14:textId="77777777" w:rsidTr="00BB3898">
        <w:trPr>
          <w:trHeight w:val="312"/>
        </w:trPr>
        <w:tc>
          <w:tcPr>
            <w:tcW w:w="1133" w:type="dxa"/>
            <w:vMerge/>
            <w:tcBorders>
              <w:left w:val="single" w:sz="12" w:space="0" w:color="000000"/>
              <w:bottom w:val="single" w:sz="12" w:space="0" w:color="000000"/>
            </w:tcBorders>
            <w:vAlign w:val="center"/>
          </w:tcPr>
          <w:p w14:paraId="090C6EB2" w14:textId="77777777" w:rsidR="008C648D" w:rsidRPr="005279C8" w:rsidRDefault="008C648D" w:rsidP="00C82CD7">
            <w:pPr>
              <w:spacing w:after="0"/>
              <w:rPr>
                <w:rFonts w:ascii="Arial" w:hAnsi="Arial" w:cs="Arial"/>
                <w:sz w:val="16"/>
                <w:szCs w:val="16"/>
              </w:rPr>
            </w:pPr>
          </w:p>
        </w:tc>
        <w:tc>
          <w:tcPr>
            <w:tcW w:w="2978" w:type="dxa"/>
            <w:tcBorders>
              <w:bottom w:val="single" w:sz="4" w:space="0" w:color="000000"/>
            </w:tcBorders>
            <w:vAlign w:val="center"/>
          </w:tcPr>
          <w:p w14:paraId="3CFF56D1" w14:textId="77777777" w:rsidR="008C648D" w:rsidRPr="0001089F" w:rsidRDefault="008C648D" w:rsidP="00C82CD7">
            <w:pPr>
              <w:spacing w:after="0"/>
              <w:rPr>
                <w:rFonts w:ascii="Arial" w:hAnsi="Arial" w:cs="Arial"/>
                <w:sz w:val="16"/>
                <w:szCs w:val="16"/>
              </w:rPr>
            </w:pPr>
            <w:r w:rsidRPr="002F3F4B">
              <w:rPr>
                <w:rFonts w:ascii="Arial" w:hAnsi="Arial" w:cs="Arial"/>
                <w:sz w:val="16"/>
                <w:szCs w:val="16"/>
              </w:rPr>
              <w:t>Number of zones with improved security of supply (</w:t>
            </w:r>
            <w:proofErr w:type="spellStart"/>
            <w:r w:rsidRPr="002F3F4B">
              <w:rPr>
                <w:rFonts w:ascii="Arial" w:hAnsi="Arial" w:cs="Arial"/>
                <w:sz w:val="16"/>
                <w:szCs w:val="16"/>
              </w:rPr>
              <w:t>SOSI</w:t>
            </w:r>
            <w:proofErr w:type="spellEnd"/>
            <w:r w:rsidRPr="002F3F4B">
              <w:rPr>
                <w:rFonts w:ascii="Arial" w:hAnsi="Arial" w:cs="Arial"/>
                <w:sz w:val="16"/>
                <w:szCs w:val="16"/>
              </w:rPr>
              <w:t xml:space="preserve">) </w:t>
            </w:r>
          </w:p>
        </w:tc>
        <w:tc>
          <w:tcPr>
            <w:tcW w:w="850" w:type="dxa"/>
            <w:tcBorders>
              <w:left w:val="single" w:sz="4" w:space="0" w:color="auto"/>
              <w:bottom w:val="single" w:sz="4" w:space="0" w:color="000000"/>
            </w:tcBorders>
            <w:shd w:val="clear" w:color="auto" w:fill="BFBFBF"/>
            <w:vAlign w:val="center"/>
          </w:tcPr>
          <w:p w14:paraId="2AB25396" w14:textId="77777777" w:rsidR="008C648D" w:rsidRPr="0001089F" w:rsidRDefault="008C648D" w:rsidP="00737AFE">
            <w:pPr>
              <w:spacing w:after="0" w:line="240" w:lineRule="auto"/>
              <w:jc w:val="center"/>
              <w:rPr>
                <w:rFonts w:ascii="Arial" w:hAnsi="Arial" w:cs="Arial"/>
                <w:bCs/>
                <w:sz w:val="16"/>
                <w:szCs w:val="16"/>
              </w:rPr>
            </w:pPr>
            <w:r w:rsidRPr="005F239D">
              <w:rPr>
                <w:rFonts w:ascii="Arial" w:hAnsi="Arial" w:cs="Arial"/>
                <w:color w:val="000000"/>
                <w:sz w:val="16"/>
                <w:szCs w:val="16"/>
              </w:rPr>
              <w:t>0</w:t>
            </w:r>
          </w:p>
        </w:tc>
        <w:tc>
          <w:tcPr>
            <w:tcW w:w="851" w:type="dxa"/>
            <w:tcBorders>
              <w:left w:val="single" w:sz="4" w:space="0" w:color="auto"/>
              <w:bottom w:val="single" w:sz="4" w:space="0" w:color="000000"/>
            </w:tcBorders>
            <w:vAlign w:val="center"/>
          </w:tcPr>
          <w:p w14:paraId="163D7C29" w14:textId="77777777" w:rsidR="008C648D" w:rsidRPr="00BD1003" w:rsidRDefault="008C648D" w:rsidP="00737AFE">
            <w:pPr>
              <w:spacing w:after="0" w:line="240" w:lineRule="auto"/>
              <w:jc w:val="center"/>
              <w:rPr>
                <w:rFonts w:ascii="Arial" w:hAnsi="Arial" w:cs="Arial"/>
                <w:bCs/>
                <w:sz w:val="16"/>
                <w:szCs w:val="16"/>
              </w:rPr>
            </w:pPr>
            <w:r w:rsidRPr="00BD1003">
              <w:rPr>
                <w:rFonts w:ascii="Arial" w:hAnsi="Arial" w:cs="Arial"/>
                <w:color w:val="000000"/>
                <w:sz w:val="16"/>
                <w:szCs w:val="16"/>
              </w:rPr>
              <w:t>1</w:t>
            </w:r>
          </w:p>
        </w:tc>
        <w:tc>
          <w:tcPr>
            <w:tcW w:w="851" w:type="dxa"/>
            <w:tcBorders>
              <w:bottom w:val="single" w:sz="4" w:space="0" w:color="000000"/>
            </w:tcBorders>
            <w:vAlign w:val="center"/>
          </w:tcPr>
          <w:p w14:paraId="4FD0DC21" w14:textId="77777777" w:rsidR="008C648D" w:rsidRPr="00BD1003" w:rsidRDefault="008C648D" w:rsidP="00737AFE">
            <w:pPr>
              <w:spacing w:after="0" w:line="240" w:lineRule="auto"/>
              <w:jc w:val="center"/>
              <w:rPr>
                <w:rFonts w:ascii="Arial" w:hAnsi="Arial" w:cs="Arial"/>
                <w:bCs/>
                <w:sz w:val="16"/>
                <w:szCs w:val="16"/>
              </w:rPr>
            </w:pPr>
            <w:r w:rsidRPr="00BD1003">
              <w:rPr>
                <w:rFonts w:ascii="Arial" w:hAnsi="Arial" w:cs="Arial"/>
                <w:bCs/>
                <w:sz w:val="16"/>
                <w:szCs w:val="16"/>
              </w:rPr>
              <w:t>0</w:t>
            </w:r>
          </w:p>
        </w:tc>
        <w:tc>
          <w:tcPr>
            <w:tcW w:w="1055" w:type="dxa"/>
            <w:tcBorders>
              <w:bottom w:val="single" w:sz="4" w:space="0" w:color="000000"/>
              <w:right w:val="single" w:sz="12" w:space="0" w:color="000000"/>
            </w:tcBorders>
            <w:shd w:val="clear" w:color="auto" w:fill="99FF66"/>
            <w:vAlign w:val="center"/>
          </w:tcPr>
          <w:p w14:paraId="1A99B069" w14:textId="77777777" w:rsidR="008C648D" w:rsidRPr="00BD1003" w:rsidRDefault="008C648D" w:rsidP="00737AFE">
            <w:pPr>
              <w:spacing w:after="0" w:line="240" w:lineRule="auto"/>
              <w:jc w:val="center"/>
              <w:rPr>
                <w:rFonts w:ascii="Arial" w:hAnsi="Arial" w:cs="Arial"/>
                <w:bCs/>
                <w:sz w:val="16"/>
                <w:szCs w:val="16"/>
              </w:rPr>
            </w:pPr>
            <w:r w:rsidRPr="00BD1003">
              <w:rPr>
                <w:rFonts w:ascii="Arial" w:hAnsi="Arial" w:cs="Arial"/>
                <w:color w:val="000000"/>
                <w:sz w:val="16"/>
                <w:szCs w:val="16"/>
              </w:rPr>
              <w:t>1</w:t>
            </w:r>
          </w:p>
        </w:tc>
        <w:tc>
          <w:tcPr>
            <w:tcW w:w="1497" w:type="dxa"/>
            <w:tcBorders>
              <w:bottom w:val="single" w:sz="4" w:space="0" w:color="000000"/>
              <w:right w:val="single" w:sz="12" w:space="0" w:color="000000"/>
            </w:tcBorders>
            <w:vAlign w:val="center"/>
          </w:tcPr>
          <w:p w14:paraId="15117E7E" w14:textId="77777777" w:rsidR="008C648D" w:rsidRPr="00A64606" w:rsidRDefault="008C648D" w:rsidP="007E15A2">
            <w:pPr>
              <w:spacing w:after="0" w:line="240" w:lineRule="auto"/>
              <w:jc w:val="center"/>
              <w:rPr>
                <w:rFonts w:ascii="Arial" w:hAnsi="Arial" w:cs="Arial"/>
                <w:bCs/>
                <w:sz w:val="16"/>
                <w:szCs w:val="16"/>
              </w:rPr>
            </w:pPr>
            <w:r w:rsidRPr="00A64606">
              <w:rPr>
                <w:rFonts w:ascii="Arial" w:hAnsi="Arial" w:cs="Arial"/>
                <w:bCs/>
                <w:sz w:val="16"/>
                <w:szCs w:val="16"/>
              </w:rPr>
              <w:t>11</w:t>
            </w:r>
          </w:p>
        </w:tc>
      </w:tr>
      <w:tr w:rsidR="008C648D" w:rsidRPr="00B87486" w14:paraId="3BA4F97B" w14:textId="77777777" w:rsidTr="00BB3898">
        <w:trPr>
          <w:trHeight w:val="312"/>
        </w:trPr>
        <w:tc>
          <w:tcPr>
            <w:tcW w:w="1133" w:type="dxa"/>
            <w:vMerge/>
            <w:tcBorders>
              <w:left w:val="single" w:sz="12" w:space="0" w:color="000000"/>
              <w:bottom w:val="single" w:sz="12" w:space="0" w:color="000000"/>
            </w:tcBorders>
            <w:vAlign w:val="center"/>
          </w:tcPr>
          <w:p w14:paraId="20046EAB" w14:textId="77777777" w:rsidR="008C648D" w:rsidRPr="005279C8" w:rsidRDefault="008C648D" w:rsidP="00C82CD7">
            <w:pPr>
              <w:spacing w:after="0"/>
              <w:rPr>
                <w:rFonts w:ascii="Arial" w:hAnsi="Arial" w:cs="Arial"/>
                <w:sz w:val="16"/>
                <w:szCs w:val="16"/>
              </w:rPr>
            </w:pPr>
          </w:p>
        </w:tc>
        <w:tc>
          <w:tcPr>
            <w:tcW w:w="2978" w:type="dxa"/>
            <w:tcBorders>
              <w:bottom w:val="single" w:sz="12" w:space="0" w:color="000000"/>
            </w:tcBorders>
            <w:vAlign w:val="center"/>
          </w:tcPr>
          <w:p w14:paraId="6516653E" w14:textId="77777777" w:rsidR="008C648D" w:rsidRPr="0001089F" w:rsidRDefault="008C648D" w:rsidP="00C82CD7">
            <w:pPr>
              <w:spacing w:after="0"/>
              <w:rPr>
                <w:rFonts w:ascii="Arial" w:hAnsi="Arial" w:cs="Arial"/>
                <w:sz w:val="16"/>
                <w:szCs w:val="16"/>
              </w:rPr>
            </w:pPr>
            <w:r w:rsidRPr="002F3F4B">
              <w:rPr>
                <w:rFonts w:ascii="Arial" w:hAnsi="Arial" w:cs="Arial"/>
                <w:sz w:val="16"/>
                <w:szCs w:val="16"/>
              </w:rPr>
              <w:t>Number of security measures and improvements to the infrastructure of critical reservoirs</w:t>
            </w:r>
            <w:r w:rsidRPr="0001089F">
              <w:rPr>
                <w:rFonts w:ascii="Arial" w:hAnsi="Arial" w:cs="Arial"/>
                <w:sz w:val="16"/>
                <w:szCs w:val="16"/>
              </w:rPr>
              <w:t xml:space="preserve"> </w:t>
            </w:r>
          </w:p>
        </w:tc>
        <w:tc>
          <w:tcPr>
            <w:tcW w:w="850" w:type="dxa"/>
            <w:tcBorders>
              <w:left w:val="single" w:sz="4" w:space="0" w:color="auto"/>
              <w:bottom w:val="single" w:sz="12" w:space="0" w:color="000000"/>
            </w:tcBorders>
            <w:shd w:val="clear" w:color="auto" w:fill="BFBFBF"/>
            <w:vAlign w:val="center"/>
          </w:tcPr>
          <w:p w14:paraId="2736F489" w14:textId="77777777" w:rsidR="008C648D" w:rsidRPr="0001089F" w:rsidRDefault="008C648D" w:rsidP="00737AFE">
            <w:pPr>
              <w:spacing w:after="0" w:line="240" w:lineRule="auto"/>
              <w:jc w:val="center"/>
              <w:rPr>
                <w:rFonts w:ascii="Arial" w:hAnsi="Arial" w:cs="Arial"/>
                <w:bCs/>
                <w:sz w:val="16"/>
                <w:szCs w:val="16"/>
              </w:rPr>
            </w:pPr>
            <w:r w:rsidRPr="005F239D">
              <w:rPr>
                <w:rFonts w:ascii="Arial" w:hAnsi="Arial" w:cs="Arial"/>
                <w:color w:val="000000"/>
                <w:sz w:val="16"/>
                <w:szCs w:val="16"/>
              </w:rPr>
              <w:t>0</w:t>
            </w:r>
          </w:p>
        </w:tc>
        <w:tc>
          <w:tcPr>
            <w:tcW w:w="851" w:type="dxa"/>
            <w:tcBorders>
              <w:left w:val="single" w:sz="4" w:space="0" w:color="auto"/>
              <w:bottom w:val="single" w:sz="12" w:space="0" w:color="000000"/>
            </w:tcBorders>
            <w:vAlign w:val="center"/>
          </w:tcPr>
          <w:p w14:paraId="024FECA9" w14:textId="77777777" w:rsidR="008C648D" w:rsidRPr="00BD1003" w:rsidRDefault="008C648D" w:rsidP="00737AFE">
            <w:pPr>
              <w:spacing w:after="0" w:line="240" w:lineRule="auto"/>
              <w:jc w:val="center"/>
              <w:rPr>
                <w:rFonts w:ascii="Arial" w:hAnsi="Arial" w:cs="Arial"/>
                <w:bCs/>
                <w:sz w:val="16"/>
                <w:szCs w:val="16"/>
              </w:rPr>
            </w:pPr>
            <w:r w:rsidRPr="00BD1003">
              <w:rPr>
                <w:rFonts w:ascii="Arial" w:hAnsi="Arial" w:cs="Arial"/>
                <w:color w:val="000000"/>
                <w:sz w:val="16"/>
                <w:szCs w:val="16"/>
              </w:rPr>
              <w:t>0</w:t>
            </w:r>
          </w:p>
        </w:tc>
        <w:tc>
          <w:tcPr>
            <w:tcW w:w="851" w:type="dxa"/>
            <w:tcBorders>
              <w:bottom w:val="single" w:sz="12" w:space="0" w:color="000000"/>
            </w:tcBorders>
            <w:vAlign w:val="center"/>
          </w:tcPr>
          <w:p w14:paraId="4F36CE69" w14:textId="77777777" w:rsidR="008C648D" w:rsidRPr="00BD1003" w:rsidRDefault="008C648D" w:rsidP="00737AFE">
            <w:pPr>
              <w:spacing w:after="0" w:line="240" w:lineRule="auto"/>
              <w:jc w:val="center"/>
              <w:rPr>
                <w:rFonts w:ascii="Arial" w:hAnsi="Arial" w:cs="Arial"/>
                <w:bCs/>
                <w:sz w:val="16"/>
                <w:szCs w:val="16"/>
              </w:rPr>
            </w:pPr>
            <w:r w:rsidRPr="00BD1003">
              <w:rPr>
                <w:rFonts w:ascii="Arial" w:hAnsi="Arial" w:cs="Arial"/>
                <w:bCs/>
                <w:sz w:val="16"/>
                <w:szCs w:val="16"/>
              </w:rPr>
              <w:t>3</w:t>
            </w:r>
          </w:p>
        </w:tc>
        <w:tc>
          <w:tcPr>
            <w:tcW w:w="1055" w:type="dxa"/>
            <w:tcBorders>
              <w:bottom w:val="single" w:sz="12" w:space="0" w:color="000000"/>
              <w:right w:val="single" w:sz="12" w:space="0" w:color="000000"/>
            </w:tcBorders>
            <w:shd w:val="clear" w:color="auto" w:fill="FFC000"/>
            <w:vAlign w:val="center"/>
          </w:tcPr>
          <w:p w14:paraId="049962C6" w14:textId="77777777" w:rsidR="008C648D" w:rsidRPr="00BD1003" w:rsidRDefault="008C648D">
            <w:pPr>
              <w:spacing w:after="0" w:line="240" w:lineRule="auto"/>
              <w:jc w:val="center"/>
              <w:rPr>
                <w:rFonts w:ascii="Arial" w:hAnsi="Arial" w:cs="Arial"/>
                <w:bCs/>
                <w:sz w:val="16"/>
                <w:szCs w:val="16"/>
              </w:rPr>
            </w:pPr>
            <w:r>
              <w:rPr>
                <w:rFonts w:ascii="Arial" w:hAnsi="Arial" w:cs="Arial"/>
                <w:color w:val="000000"/>
                <w:sz w:val="16"/>
                <w:szCs w:val="16"/>
              </w:rPr>
              <w:t>0 - 3</w:t>
            </w:r>
          </w:p>
        </w:tc>
        <w:tc>
          <w:tcPr>
            <w:tcW w:w="1497" w:type="dxa"/>
            <w:tcBorders>
              <w:bottom w:val="single" w:sz="12" w:space="0" w:color="000000"/>
              <w:right w:val="single" w:sz="12" w:space="0" w:color="000000"/>
            </w:tcBorders>
            <w:vAlign w:val="center"/>
          </w:tcPr>
          <w:p w14:paraId="0B6EFB22" w14:textId="77777777" w:rsidR="008C648D" w:rsidRPr="00A64606" w:rsidRDefault="008C648D" w:rsidP="00737AFE">
            <w:pPr>
              <w:spacing w:after="0" w:line="240" w:lineRule="auto"/>
              <w:jc w:val="center"/>
              <w:rPr>
                <w:rFonts w:ascii="Arial" w:hAnsi="Arial" w:cs="Arial"/>
                <w:bCs/>
                <w:sz w:val="16"/>
                <w:szCs w:val="16"/>
              </w:rPr>
            </w:pPr>
            <w:r w:rsidRPr="00A64606">
              <w:rPr>
                <w:rFonts w:ascii="Arial" w:hAnsi="Arial" w:cs="Arial"/>
                <w:bCs/>
                <w:sz w:val="16"/>
                <w:szCs w:val="16"/>
              </w:rPr>
              <w:t>689</w:t>
            </w:r>
          </w:p>
        </w:tc>
      </w:tr>
    </w:tbl>
    <w:p w14:paraId="4303AB04" w14:textId="77777777" w:rsidR="005D6278" w:rsidRDefault="005D6278" w:rsidP="00CC18E4">
      <w:pPr>
        <w:spacing w:after="0"/>
        <w:jc w:val="both"/>
        <w:rPr>
          <w:rFonts w:ascii="Arial" w:hAnsi="Arial" w:cs="Arial"/>
          <w:b/>
          <w:u w:val="single"/>
        </w:rPr>
      </w:pPr>
    </w:p>
    <w:p w14:paraId="7EC48F4B" w14:textId="77777777" w:rsidR="00217A5A" w:rsidRPr="009D1496" w:rsidRDefault="00217A5A" w:rsidP="00CC18E4">
      <w:pPr>
        <w:spacing w:after="0" w:line="240" w:lineRule="auto"/>
        <w:rPr>
          <w:rFonts w:ascii="Arial" w:hAnsi="Arial" w:cs="Arial"/>
          <w:b/>
        </w:rPr>
      </w:pPr>
      <w:r w:rsidRPr="009D1496">
        <w:rPr>
          <w:rFonts w:ascii="Arial" w:hAnsi="Arial" w:cs="Arial"/>
          <w:b/>
          <w:u w:val="single"/>
        </w:rPr>
        <w:t>Programme specific explanations</w:t>
      </w:r>
      <w:r w:rsidRPr="009D1496">
        <w:rPr>
          <w:rFonts w:ascii="Arial" w:hAnsi="Arial" w:cs="Arial"/>
          <w:b/>
        </w:rPr>
        <w:t>:</w:t>
      </w:r>
    </w:p>
    <w:p w14:paraId="55BA1E17" w14:textId="77777777" w:rsidR="007E15A2" w:rsidRDefault="007E15A2" w:rsidP="00217A5A">
      <w:pPr>
        <w:spacing w:after="0"/>
        <w:jc w:val="both"/>
        <w:rPr>
          <w:rFonts w:ascii="Arial" w:hAnsi="Arial" w:cs="Arial"/>
          <w:b/>
        </w:rPr>
      </w:pPr>
    </w:p>
    <w:p w14:paraId="60213D48" w14:textId="77777777" w:rsidR="00217A5A" w:rsidRPr="00BF49BE" w:rsidRDefault="00217A5A" w:rsidP="00217A5A">
      <w:pPr>
        <w:spacing w:after="0"/>
        <w:jc w:val="both"/>
        <w:rPr>
          <w:rFonts w:ascii="Arial" w:hAnsi="Arial" w:cs="Arial"/>
          <w:b/>
        </w:rPr>
      </w:pPr>
      <w:r w:rsidRPr="00BF49BE">
        <w:rPr>
          <w:rFonts w:ascii="Arial" w:hAnsi="Arial" w:cs="Arial"/>
          <w:b/>
        </w:rPr>
        <w:t>2010-15 outputs planned to complete in the 2015-21 period</w:t>
      </w:r>
    </w:p>
    <w:p w14:paraId="7638E6B1" w14:textId="525BAC38" w:rsidR="00B82F08" w:rsidRDefault="00A951C0" w:rsidP="00303CAB">
      <w:pPr>
        <w:spacing w:after="0"/>
        <w:jc w:val="both"/>
        <w:rPr>
          <w:rFonts w:ascii="Arial" w:hAnsi="Arial" w:cs="Arial"/>
        </w:rPr>
      </w:pPr>
      <w:r w:rsidRPr="00303CAB">
        <w:rPr>
          <w:rFonts w:ascii="Arial" w:hAnsi="Arial" w:cs="Arial"/>
        </w:rPr>
        <w:t xml:space="preserve">Scottish Water forecasts that it will deliver </w:t>
      </w:r>
      <w:r w:rsidR="00A41591">
        <w:rPr>
          <w:rFonts w:ascii="Arial" w:hAnsi="Arial" w:cs="Arial"/>
        </w:rPr>
        <w:t>2</w:t>
      </w:r>
      <w:r w:rsidRPr="00303CAB">
        <w:rPr>
          <w:rFonts w:ascii="Arial" w:hAnsi="Arial" w:cs="Arial"/>
        </w:rPr>
        <w:t xml:space="preserve"> to </w:t>
      </w:r>
      <w:r w:rsidR="00A41591">
        <w:rPr>
          <w:rFonts w:ascii="Arial" w:hAnsi="Arial" w:cs="Arial"/>
        </w:rPr>
        <w:t>3</w:t>
      </w:r>
      <w:r w:rsidRPr="00303CAB">
        <w:rPr>
          <w:rFonts w:ascii="Arial" w:hAnsi="Arial" w:cs="Arial"/>
        </w:rPr>
        <w:t xml:space="preserve"> outputs in this programme area by March 2016.  </w:t>
      </w:r>
      <w:r w:rsidR="00B82F08" w:rsidRPr="00303CAB">
        <w:rPr>
          <w:rFonts w:ascii="Arial" w:hAnsi="Arial" w:cs="Arial"/>
        </w:rPr>
        <w:t>R</w:t>
      </w:r>
      <w:r w:rsidRPr="00303CAB">
        <w:rPr>
          <w:rFonts w:ascii="Arial" w:hAnsi="Arial" w:cs="Arial"/>
        </w:rPr>
        <w:t xml:space="preserve">egulatory sign-off for the mains distribution work at </w:t>
      </w:r>
      <w:proofErr w:type="spellStart"/>
      <w:r w:rsidR="002962FD" w:rsidRPr="00303CAB">
        <w:rPr>
          <w:rFonts w:ascii="Arial" w:hAnsi="Arial" w:cs="Arial"/>
        </w:rPr>
        <w:t>Lintrathen</w:t>
      </w:r>
      <w:proofErr w:type="spellEnd"/>
      <w:r w:rsidRPr="00303CAB">
        <w:rPr>
          <w:rFonts w:ascii="Arial" w:hAnsi="Arial" w:cs="Arial"/>
        </w:rPr>
        <w:t xml:space="preserve"> </w:t>
      </w:r>
      <w:r w:rsidR="00B82F08" w:rsidRPr="00303CAB">
        <w:rPr>
          <w:rFonts w:ascii="Arial" w:hAnsi="Arial" w:cs="Arial"/>
        </w:rPr>
        <w:t xml:space="preserve">was achieved </w:t>
      </w:r>
      <w:r w:rsidR="00982901" w:rsidRPr="00303CAB">
        <w:rPr>
          <w:rFonts w:ascii="Arial" w:hAnsi="Arial" w:cs="Arial"/>
        </w:rPr>
        <w:t>in Quarter 3</w:t>
      </w:r>
      <w:r w:rsidR="00232797">
        <w:rPr>
          <w:rFonts w:ascii="Arial" w:hAnsi="Arial" w:cs="Arial"/>
        </w:rPr>
        <w:t xml:space="preserve"> and </w:t>
      </w:r>
      <w:proofErr w:type="spellStart"/>
      <w:r w:rsidR="00232797">
        <w:rPr>
          <w:rFonts w:ascii="Arial" w:hAnsi="Arial" w:cs="Arial"/>
        </w:rPr>
        <w:t>Mannofield</w:t>
      </w:r>
      <w:proofErr w:type="spellEnd"/>
      <w:r w:rsidR="00232797">
        <w:rPr>
          <w:rFonts w:ascii="Arial" w:hAnsi="Arial" w:cs="Arial"/>
        </w:rPr>
        <w:t xml:space="preserve"> South was achieved in February.</w:t>
      </w:r>
      <w:r w:rsidR="006D4D8E">
        <w:rPr>
          <w:rFonts w:ascii="Arial" w:hAnsi="Arial" w:cs="Arial"/>
        </w:rPr>
        <w:t xml:space="preserve"> </w:t>
      </w:r>
      <w:r w:rsidR="00232797">
        <w:rPr>
          <w:rFonts w:ascii="Arial" w:hAnsi="Arial" w:cs="Arial"/>
        </w:rPr>
        <w:t xml:space="preserve"> One further output at </w:t>
      </w:r>
      <w:proofErr w:type="spellStart"/>
      <w:r w:rsidR="00232797">
        <w:rPr>
          <w:rFonts w:ascii="Arial" w:hAnsi="Arial" w:cs="Arial"/>
        </w:rPr>
        <w:t>Beasdale</w:t>
      </w:r>
      <w:proofErr w:type="spellEnd"/>
      <w:r w:rsidR="00232797">
        <w:rPr>
          <w:rFonts w:ascii="Arial" w:hAnsi="Arial" w:cs="Arial"/>
        </w:rPr>
        <w:t xml:space="preserve"> is forecast for regulatory sign-off by March 2016</w:t>
      </w:r>
      <w:r w:rsidRPr="00303CAB">
        <w:rPr>
          <w:rFonts w:ascii="Arial" w:hAnsi="Arial" w:cs="Arial"/>
        </w:rPr>
        <w:t xml:space="preserve">. </w:t>
      </w:r>
      <w:r w:rsidR="006D4D8E">
        <w:rPr>
          <w:rFonts w:ascii="Arial" w:hAnsi="Arial" w:cs="Arial"/>
        </w:rPr>
        <w:t xml:space="preserve"> </w:t>
      </w:r>
      <w:r w:rsidR="0043163A">
        <w:rPr>
          <w:rFonts w:ascii="Arial" w:hAnsi="Arial" w:cs="Arial"/>
        </w:rPr>
        <w:t xml:space="preserve">The improvement work at Carron Valley, </w:t>
      </w:r>
      <w:r w:rsidR="004405E2">
        <w:rPr>
          <w:rFonts w:ascii="Arial" w:hAnsi="Arial" w:cs="Arial"/>
        </w:rPr>
        <w:t xml:space="preserve">which </w:t>
      </w:r>
      <w:r w:rsidR="0043163A">
        <w:rPr>
          <w:rFonts w:ascii="Arial" w:hAnsi="Arial" w:cs="Arial"/>
        </w:rPr>
        <w:t xml:space="preserve">had sample failures during the </w:t>
      </w:r>
      <w:r w:rsidR="008B5B9D">
        <w:rPr>
          <w:rFonts w:ascii="Arial" w:hAnsi="Arial" w:cs="Arial"/>
        </w:rPr>
        <w:t xml:space="preserve">9 month </w:t>
      </w:r>
      <w:r w:rsidR="0043163A">
        <w:rPr>
          <w:rFonts w:ascii="Arial" w:hAnsi="Arial" w:cs="Arial"/>
        </w:rPr>
        <w:t>monitoring</w:t>
      </w:r>
      <w:r w:rsidR="008B5B9D">
        <w:rPr>
          <w:rFonts w:ascii="Arial" w:hAnsi="Arial" w:cs="Arial"/>
        </w:rPr>
        <w:t xml:space="preserve"> period</w:t>
      </w:r>
      <w:r w:rsidR="004405E2">
        <w:rPr>
          <w:rFonts w:ascii="Arial" w:hAnsi="Arial" w:cs="Arial"/>
        </w:rPr>
        <w:t xml:space="preserve">, is </w:t>
      </w:r>
      <w:r w:rsidR="0043163A">
        <w:rPr>
          <w:rFonts w:ascii="Arial" w:hAnsi="Arial" w:cs="Arial"/>
        </w:rPr>
        <w:t xml:space="preserve">being investigated and if confirmed will required further remedial work on the network to ensure compliance. </w:t>
      </w:r>
      <w:r w:rsidR="006D4D8E">
        <w:rPr>
          <w:rFonts w:ascii="Arial" w:hAnsi="Arial" w:cs="Arial"/>
        </w:rPr>
        <w:t xml:space="preserve"> </w:t>
      </w:r>
      <w:r w:rsidR="0043163A">
        <w:rPr>
          <w:rFonts w:ascii="Arial" w:hAnsi="Arial" w:cs="Arial"/>
        </w:rPr>
        <w:t xml:space="preserve">The revised forecast date is September 2016. </w:t>
      </w:r>
      <w:r w:rsidR="009139BC">
        <w:rPr>
          <w:rFonts w:ascii="Arial" w:hAnsi="Arial" w:cs="Arial"/>
        </w:rPr>
        <w:t xml:space="preserve"> </w:t>
      </w:r>
      <w:r w:rsidR="005C06CB">
        <w:rPr>
          <w:rFonts w:ascii="Arial" w:hAnsi="Arial" w:cs="Arial"/>
        </w:rPr>
        <w:t xml:space="preserve">For </w:t>
      </w:r>
      <w:proofErr w:type="spellStart"/>
      <w:r w:rsidR="005C06CB">
        <w:rPr>
          <w:rFonts w:ascii="Arial" w:hAnsi="Arial" w:cs="Arial"/>
        </w:rPr>
        <w:t>Daer</w:t>
      </w:r>
      <w:proofErr w:type="spellEnd"/>
      <w:r w:rsidR="005C06CB">
        <w:rPr>
          <w:rFonts w:ascii="Arial" w:hAnsi="Arial" w:cs="Arial"/>
        </w:rPr>
        <w:t xml:space="preserve"> A, additional work has been identified through sampling and the output has a revised forecast delivery date of November 2016.</w:t>
      </w:r>
    </w:p>
    <w:p w14:paraId="7FF717F2" w14:textId="77777777" w:rsidR="0043163A" w:rsidRDefault="0043163A" w:rsidP="00217A5A">
      <w:pPr>
        <w:spacing w:after="0"/>
        <w:jc w:val="both"/>
        <w:rPr>
          <w:rFonts w:ascii="Arial" w:hAnsi="Arial" w:cs="Arial"/>
          <w:b/>
        </w:rPr>
      </w:pPr>
    </w:p>
    <w:p w14:paraId="455EA4A9" w14:textId="77777777" w:rsidR="00217A5A" w:rsidRPr="00BF49BE" w:rsidRDefault="00217A5A" w:rsidP="00217A5A">
      <w:pPr>
        <w:spacing w:after="0"/>
        <w:jc w:val="both"/>
        <w:rPr>
          <w:rFonts w:ascii="Arial" w:hAnsi="Arial" w:cs="Arial"/>
          <w:b/>
        </w:rPr>
      </w:pPr>
      <w:r w:rsidRPr="00BF49BE">
        <w:rPr>
          <w:rFonts w:ascii="Arial" w:hAnsi="Arial" w:cs="Arial"/>
          <w:b/>
        </w:rPr>
        <w:t>Number of security measures and improvements to the infrastructure of critical reservoirs</w:t>
      </w:r>
    </w:p>
    <w:p w14:paraId="3EC23811" w14:textId="779A89C1" w:rsidR="00377164" w:rsidRDefault="005B4A50" w:rsidP="00143C9E">
      <w:pPr>
        <w:spacing w:after="0"/>
        <w:jc w:val="both"/>
        <w:rPr>
          <w:rFonts w:ascii="Arial" w:hAnsi="Arial" w:cs="Arial"/>
        </w:rPr>
      </w:pPr>
      <w:r>
        <w:rPr>
          <w:rFonts w:ascii="Arial" w:hAnsi="Arial" w:cs="Arial"/>
        </w:rPr>
        <w:t>Scottish Water will improve 6</w:t>
      </w:r>
      <w:r w:rsidR="00A263DB">
        <w:rPr>
          <w:rFonts w:ascii="Arial" w:hAnsi="Arial" w:cs="Arial"/>
        </w:rPr>
        <w:t>8</w:t>
      </w:r>
      <w:r>
        <w:rPr>
          <w:rFonts w:ascii="Arial" w:hAnsi="Arial" w:cs="Arial"/>
        </w:rPr>
        <w:t xml:space="preserve">9 outputs during </w:t>
      </w:r>
      <w:r w:rsidR="00D80E38">
        <w:rPr>
          <w:rFonts w:ascii="Arial" w:hAnsi="Arial" w:cs="Arial"/>
        </w:rPr>
        <w:t xml:space="preserve">the </w:t>
      </w:r>
      <w:r>
        <w:rPr>
          <w:rFonts w:ascii="Arial" w:hAnsi="Arial" w:cs="Arial"/>
        </w:rPr>
        <w:t>2015-21</w:t>
      </w:r>
      <w:r w:rsidR="00D80E38">
        <w:rPr>
          <w:rFonts w:ascii="Arial" w:hAnsi="Arial" w:cs="Arial"/>
        </w:rPr>
        <w:t xml:space="preserve"> period</w:t>
      </w:r>
      <w:r w:rsidR="00D74EE0">
        <w:rPr>
          <w:rFonts w:ascii="Arial" w:hAnsi="Arial" w:cs="Arial"/>
        </w:rPr>
        <w:t xml:space="preserve">, </w:t>
      </w:r>
      <w:r>
        <w:rPr>
          <w:rFonts w:ascii="Arial" w:hAnsi="Arial" w:cs="Arial"/>
        </w:rPr>
        <w:t>address</w:t>
      </w:r>
      <w:r w:rsidR="00D74EE0">
        <w:rPr>
          <w:rFonts w:ascii="Arial" w:hAnsi="Arial" w:cs="Arial"/>
        </w:rPr>
        <w:t>ing</w:t>
      </w:r>
      <w:r>
        <w:rPr>
          <w:rFonts w:ascii="Arial" w:hAnsi="Arial" w:cs="Arial"/>
        </w:rPr>
        <w:t xml:space="preserve"> additional security measures </w:t>
      </w:r>
      <w:r w:rsidR="001406C9">
        <w:rPr>
          <w:rFonts w:ascii="Arial" w:hAnsi="Arial" w:cs="Arial"/>
        </w:rPr>
        <w:t xml:space="preserve">as required by the Scottish Government’s defined security requirements </w:t>
      </w:r>
      <w:r>
        <w:rPr>
          <w:rFonts w:ascii="Arial" w:hAnsi="Arial" w:cs="Arial"/>
        </w:rPr>
        <w:t xml:space="preserve">and </w:t>
      </w:r>
      <w:r w:rsidR="00D74EE0">
        <w:rPr>
          <w:rFonts w:ascii="Arial" w:hAnsi="Arial" w:cs="Arial"/>
        </w:rPr>
        <w:t xml:space="preserve">improve the infrastructure of </w:t>
      </w:r>
      <w:r w:rsidR="00A263DB">
        <w:rPr>
          <w:rFonts w:ascii="Arial" w:hAnsi="Arial" w:cs="Arial"/>
        </w:rPr>
        <w:t xml:space="preserve">56 </w:t>
      </w:r>
      <w:r w:rsidR="00D74EE0">
        <w:rPr>
          <w:rFonts w:ascii="Arial" w:hAnsi="Arial" w:cs="Arial"/>
        </w:rPr>
        <w:t>critical reservoirs</w:t>
      </w:r>
      <w:r w:rsidR="001406C9">
        <w:rPr>
          <w:rFonts w:ascii="Arial" w:hAnsi="Arial" w:cs="Arial"/>
        </w:rPr>
        <w:t>, moving to a more proactive and preventative approach</w:t>
      </w:r>
      <w:r w:rsidR="00D74EE0">
        <w:rPr>
          <w:rFonts w:ascii="Arial" w:hAnsi="Arial" w:cs="Arial"/>
        </w:rPr>
        <w:t>.</w:t>
      </w:r>
      <w:r w:rsidR="001406C9">
        <w:rPr>
          <w:rFonts w:ascii="Arial" w:hAnsi="Arial" w:cs="Arial"/>
        </w:rPr>
        <w:t xml:space="preserve"> </w:t>
      </w:r>
      <w:r w:rsidR="006C15A7">
        <w:rPr>
          <w:rFonts w:ascii="Arial" w:hAnsi="Arial" w:cs="Arial"/>
        </w:rPr>
        <w:t xml:space="preserve"> </w:t>
      </w:r>
      <w:r w:rsidR="00BC24A7" w:rsidRPr="00BC24A7">
        <w:rPr>
          <w:rFonts w:ascii="Arial" w:hAnsi="Arial" w:cs="Arial"/>
        </w:rPr>
        <w:t>Scottish Water forecasts that up to 3 outputs</w:t>
      </w:r>
      <w:r w:rsidR="006C15A7">
        <w:rPr>
          <w:rFonts w:ascii="Arial" w:hAnsi="Arial" w:cs="Arial"/>
        </w:rPr>
        <w:t xml:space="preserve"> to </w:t>
      </w:r>
      <w:r w:rsidR="00BC24A7" w:rsidRPr="00BC24A7">
        <w:rPr>
          <w:rFonts w:ascii="Arial" w:hAnsi="Arial" w:cs="Arial"/>
        </w:rPr>
        <w:t>improv</w:t>
      </w:r>
      <w:r w:rsidR="006C15A7">
        <w:rPr>
          <w:rFonts w:ascii="Arial" w:hAnsi="Arial" w:cs="Arial"/>
        </w:rPr>
        <w:t xml:space="preserve">e </w:t>
      </w:r>
      <w:r w:rsidR="00BC24A7" w:rsidRPr="00BC24A7">
        <w:rPr>
          <w:rFonts w:ascii="Arial" w:hAnsi="Arial" w:cs="Arial"/>
        </w:rPr>
        <w:t>the infrastructure at critical reservoirs could be delivered by March 2016.</w:t>
      </w:r>
    </w:p>
    <w:p w14:paraId="279A33EA" w14:textId="77777777" w:rsidR="00377164" w:rsidRDefault="00377164" w:rsidP="00143C9E">
      <w:pPr>
        <w:spacing w:after="0"/>
        <w:jc w:val="both"/>
        <w:rPr>
          <w:rFonts w:ascii="Arial" w:hAnsi="Arial" w:cs="Arial"/>
        </w:rPr>
      </w:pPr>
    </w:p>
    <w:p w14:paraId="5ADFCA13" w14:textId="7EA3A2B3" w:rsidR="0090410B" w:rsidRDefault="0090410B" w:rsidP="00143C9E">
      <w:pPr>
        <w:spacing w:after="0"/>
        <w:jc w:val="both"/>
        <w:rPr>
          <w:rFonts w:ascii="Arial" w:hAnsi="Arial" w:cs="Arial"/>
        </w:rPr>
      </w:pPr>
      <w:r>
        <w:rPr>
          <w:rFonts w:ascii="Arial" w:hAnsi="Arial" w:cs="Arial"/>
        </w:rPr>
        <w:br w:type="page"/>
      </w:r>
    </w:p>
    <w:p w14:paraId="56581D35" w14:textId="77777777" w:rsidR="00BF50E9" w:rsidRPr="007E4460" w:rsidRDefault="00EA35FC" w:rsidP="0018250A">
      <w:pPr>
        <w:spacing w:after="0" w:line="240" w:lineRule="auto"/>
        <w:rPr>
          <w:rFonts w:ascii="Arial" w:hAnsi="Arial" w:cs="Arial"/>
          <w:b/>
        </w:rPr>
      </w:pPr>
      <w:r>
        <w:rPr>
          <w:rFonts w:ascii="Arial" w:hAnsi="Arial" w:cs="Arial"/>
          <w:b/>
        </w:rPr>
        <w:lastRenderedPageBreak/>
        <w:t xml:space="preserve">3.  </w:t>
      </w:r>
      <w:r w:rsidR="00BF50E9" w:rsidRPr="007E4460">
        <w:rPr>
          <w:rFonts w:ascii="Arial" w:hAnsi="Arial" w:cs="Arial"/>
          <w:b/>
        </w:rPr>
        <w:t>Protecting and enhancing the environment</w:t>
      </w:r>
    </w:p>
    <w:p w14:paraId="0D656016" w14:textId="77777777" w:rsidR="009F69B0" w:rsidRPr="00FE201D" w:rsidRDefault="009F69B0" w:rsidP="009F69B0">
      <w:pPr>
        <w:spacing w:after="0"/>
        <w:jc w:val="both"/>
        <w:rPr>
          <w:rFonts w:ascii="Arial" w:hAnsi="Arial" w:cs="Arial"/>
          <w:sz w:val="16"/>
          <w:szCs w:val="16"/>
        </w:rPr>
      </w:pPr>
    </w:p>
    <w:p w14:paraId="0523D9B4" w14:textId="77777777" w:rsidR="009F69B0" w:rsidRDefault="009F69B0" w:rsidP="00143C9E">
      <w:pPr>
        <w:spacing w:after="0"/>
        <w:ind w:right="-612"/>
        <w:jc w:val="both"/>
        <w:rPr>
          <w:rFonts w:ascii="Arial" w:hAnsi="Arial" w:cs="Arial"/>
        </w:rPr>
      </w:pPr>
      <w:r w:rsidRPr="000652C2">
        <w:rPr>
          <w:rFonts w:ascii="Arial" w:hAnsi="Arial" w:cs="Arial"/>
        </w:rPr>
        <w:t xml:space="preserve">Scottish Water </w:t>
      </w:r>
      <w:r w:rsidR="00F15BD1">
        <w:rPr>
          <w:rFonts w:ascii="Arial" w:hAnsi="Arial" w:cs="Arial"/>
        </w:rPr>
        <w:t>is undertaking</w:t>
      </w:r>
      <w:r w:rsidRPr="000652C2">
        <w:rPr>
          <w:rFonts w:ascii="Arial" w:hAnsi="Arial" w:cs="Arial"/>
        </w:rPr>
        <w:t xml:space="preserve"> work associated with the 10 programme </w:t>
      </w:r>
      <w:r>
        <w:rPr>
          <w:rFonts w:ascii="Arial" w:hAnsi="Arial" w:cs="Arial"/>
        </w:rPr>
        <w:t xml:space="preserve">areas in the table below. </w:t>
      </w:r>
    </w:p>
    <w:p w14:paraId="4B637A39" w14:textId="77777777" w:rsidR="009F69B0" w:rsidRPr="00A61154" w:rsidRDefault="009F69B0" w:rsidP="00BF50E9">
      <w:pPr>
        <w:spacing w:after="0"/>
        <w:jc w:val="both"/>
        <w:rPr>
          <w:rFonts w:ascii="Arial" w:hAnsi="Arial" w:cs="Arial"/>
          <w:sz w:val="8"/>
          <w:szCs w:val="8"/>
        </w:rPr>
      </w:pPr>
    </w:p>
    <w:tbl>
      <w:tblPr>
        <w:tblW w:w="93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2"/>
        <w:gridCol w:w="2981"/>
        <w:gridCol w:w="852"/>
        <w:gridCol w:w="851"/>
        <w:gridCol w:w="852"/>
        <w:gridCol w:w="1095"/>
        <w:gridCol w:w="1456"/>
      </w:tblGrid>
      <w:tr w:rsidR="008C648D" w:rsidRPr="00C54741" w14:paraId="205D31AA" w14:textId="77777777" w:rsidTr="0023001E">
        <w:trPr>
          <w:trHeight w:val="725"/>
        </w:trPr>
        <w:tc>
          <w:tcPr>
            <w:tcW w:w="1272" w:type="dxa"/>
            <w:tcBorders>
              <w:top w:val="single" w:sz="12" w:space="0" w:color="000000"/>
              <w:left w:val="single" w:sz="12" w:space="0" w:color="000000"/>
              <w:bottom w:val="single" w:sz="12" w:space="0" w:color="000000"/>
            </w:tcBorders>
            <w:shd w:val="clear" w:color="auto" w:fill="E0EDF9"/>
            <w:vAlign w:val="center"/>
          </w:tcPr>
          <w:p w14:paraId="4254C083" w14:textId="77777777" w:rsidR="008C648D" w:rsidRPr="00C54741" w:rsidRDefault="008C648D" w:rsidP="005D55BB">
            <w:pPr>
              <w:spacing w:after="0" w:line="240" w:lineRule="auto"/>
              <w:rPr>
                <w:rFonts w:ascii="Arial" w:hAnsi="Arial" w:cs="Arial"/>
                <w:b/>
                <w:bCs/>
                <w:sz w:val="18"/>
                <w:szCs w:val="18"/>
              </w:rPr>
            </w:pPr>
            <w:r>
              <w:rPr>
                <w:rFonts w:ascii="Arial" w:hAnsi="Arial" w:cs="Arial"/>
                <w:b/>
                <w:bCs/>
                <w:sz w:val="18"/>
                <w:szCs w:val="18"/>
              </w:rPr>
              <w:t>Objective</w:t>
            </w:r>
          </w:p>
        </w:tc>
        <w:tc>
          <w:tcPr>
            <w:tcW w:w="2981" w:type="dxa"/>
            <w:tcBorders>
              <w:top w:val="single" w:sz="12" w:space="0" w:color="000000"/>
              <w:bottom w:val="single" w:sz="12" w:space="0" w:color="000000"/>
            </w:tcBorders>
            <w:shd w:val="clear" w:color="auto" w:fill="E0EDF9"/>
            <w:vAlign w:val="center"/>
          </w:tcPr>
          <w:p w14:paraId="486A3955" w14:textId="77777777" w:rsidR="008C648D" w:rsidRPr="00C54741" w:rsidRDefault="008C648D" w:rsidP="005D55BB">
            <w:pPr>
              <w:spacing w:after="0" w:line="240" w:lineRule="auto"/>
              <w:rPr>
                <w:rFonts w:ascii="Arial" w:hAnsi="Arial" w:cs="Arial"/>
                <w:b/>
                <w:bCs/>
                <w:sz w:val="18"/>
                <w:szCs w:val="18"/>
              </w:rPr>
            </w:pPr>
            <w:r>
              <w:rPr>
                <w:rFonts w:ascii="Arial" w:hAnsi="Arial" w:cs="Arial"/>
                <w:b/>
                <w:bCs/>
                <w:sz w:val="18"/>
                <w:szCs w:val="18"/>
              </w:rPr>
              <w:t>Quarterly monitored programme areas</w:t>
            </w:r>
          </w:p>
        </w:tc>
        <w:tc>
          <w:tcPr>
            <w:tcW w:w="852" w:type="dxa"/>
            <w:tcBorders>
              <w:top w:val="single" w:sz="12" w:space="0" w:color="000000"/>
              <w:bottom w:val="single" w:sz="12" w:space="0" w:color="000000"/>
            </w:tcBorders>
            <w:shd w:val="clear" w:color="auto" w:fill="E0EDF9"/>
            <w:vAlign w:val="center"/>
          </w:tcPr>
          <w:p w14:paraId="2E264041" w14:textId="77777777" w:rsidR="008C648D" w:rsidRDefault="008C648D" w:rsidP="00E9676A">
            <w:pPr>
              <w:spacing w:before="60" w:after="60" w:line="240" w:lineRule="auto"/>
              <w:jc w:val="center"/>
              <w:rPr>
                <w:rFonts w:ascii="Arial" w:hAnsi="Arial" w:cs="Arial"/>
                <w:b/>
                <w:bCs/>
                <w:sz w:val="18"/>
                <w:szCs w:val="18"/>
              </w:rPr>
            </w:pPr>
            <w:proofErr w:type="spellStart"/>
            <w:r>
              <w:rPr>
                <w:rFonts w:ascii="Arial" w:hAnsi="Arial" w:cs="Arial"/>
                <w:b/>
                <w:bCs/>
                <w:sz w:val="18"/>
                <w:szCs w:val="18"/>
              </w:rPr>
              <w:t>Q2</w:t>
            </w:r>
            <w:proofErr w:type="spellEnd"/>
            <w:r>
              <w:rPr>
                <w:rFonts w:ascii="Arial" w:hAnsi="Arial" w:cs="Arial"/>
                <w:b/>
                <w:bCs/>
                <w:sz w:val="18"/>
                <w:szCs w:val="18"/>
              </w:rPr>
              <w:br/>
              <w:t>Actual</w:t>
            </w:r>
          </w:p>
        </w:tc>
        <w:tc>
          <w:tcPr>
            <w:tcW w:w="851" w:type="dxa"/>
            <w:tcBorders>
              <w:top w:val="single" w:sz="12" w:space="0" w:color="000000"/>
              <w:left w:val="single" w:sz="4" w:space="0" w:color="auto"/>
              <w:bottom w:val="single" w:sz="12" w:space="0" w:color="000000"/>
            </w:tcBorders>
            <w:shd w:val="clear" w:color="auto" w:fill="E0EDF9"/>
            <w:vAlign w:val="center"/>
          </w:tcPr>
          <w:p w14:paraId="0C7BD74E" w14:textId="77777777" w:rsidR="008C648D" w:rsidRPr="00F118AB" w:rsidRDefault="008C648D" w:rsidP="00BB7E55">
            <w:pPr>
              <w:spacing w:before="60" w:after="60" w:line="240" w:lineRule="auto"/>
              <w:jc w:val="center"/>
              <w:rPr>
                <w:rFonts w:ascii="Arial" w:hAnsi="Arial" w:cs="Arial"/>
                <w:b/>
                <w:bCs/>
                <w:sz w:val="18"/>
                <w:szCs w:val="18"/>
              </w:rPr>
            </w:pPr>
            <w:r>
              <w:rPr>
                <w:rFonts w:ascii="Arial" w:hAnsi="Arial" w:cs="Arial"/>
                <w:b/>
                <w:bCs/>
                <w:sz w:val="18"/>
                <w:szCs w:val="18"/>
              </w:rPr>
              <w:t>Q3</w:t>
            </w:r>
            <w:r>
              <w:rPr>
                <w:rFonts w:ascii="Arial" w:hAnsi="Arial" w:cs="Arial"/>
                <w:b/>
                <w:bCs/>
                <w:sz w:val="18"/>
                <w:szCs w:val="18"/>
              </w:rPr>
              <w:br/>
              <w:t>Actual</w:t>
            </w:r>
          </w:p>
        </w:tc>
        <w:tc>
          <w:tcPr>
            <w:tcW w:w="852" w:type="dxa"/>
            <w:tcBorders>
              <w:top w:val="single" w:sz="12" w:space="0" w:color="000000"/>
              <w:bottom w:val="single" w:sz="12" w:space="0" w:color="000000"/>
            </w:tcBorders>
            <w:shd w:val="clear" w:color="auto" w:fill="E0EDF9"/>
            <w:vAlign w:val="center"/>
          </w:tcPr>
          <w:p w14:paraId="05FF8F13" w14:textId="77777777" w:rsidR="008C648D" w:rsidRDefault="008C648D" w:rsidP="00E9676A">
            <w:pPr>
              <w:spacing w:before="60" w:after="60" w:line="240" w:lineRule="auto"/>
              <w:jc w:val="center"/>
              <w:rPr>
                <w:rFonts w:ascii="Arial" w:hAnsi="Arial" w:cs="Arial"/>
                <w:b/>
                <w:bCs/>
                <w:sz w:val="18"/>
                <w:szCs w:val="18"/>
              </w:rPr>
            </w:pPr>
            <w:proofErr w:type="spellStart"/>
            <w:r>
              <w:rPr>
                <w:rFonts w:ascii="Arial" w:hAnsi="Arial" w:cs="Arial"/>
                <w:b/>
                <w:bCs/>
                <w:sz w:val="18"/>
                <w:szCs w:val="18"/>
              </w:rPr>
              <w:t>Year end</w:t>
            </w:r>
            <w:proofErr w:type="spellEnd"/>
            <w:r>
              <w:rPr>
                <w:rFonts w:ascii="Arial" w:hAnsi="Arial" w:cs="Arial"/>
                <w:b/>
                <w:bCs/>
                <w:sz w:val="18"/>
                <w:szCs w:val="18"/>
              </w:rPr>
              <w:t xml:space="preserve"> </w:t>
            </w:r>
            <w:r>
              <w:rPr>
                <w:rFonts w:ascii="Arial" w:hAnsi="Arial" w:cs="Arial"/>
                <w:b/>
                <w:bCs/>
                <w:sz w:val="18"/>
                <w:szCs w:val="18"/>
              </w:rPr>
              <w:br/>
              <w:t>target</w:t>
            </w:r>
          </w:p>
        </w:tc>
        <w:tc>
          <w:tcPr>
            <w:tcW w:w="1095" w:type="dxa"/>
            <w:tcBorders>
              <w:top w:val="single" w:sz="12" w:space="0" w:color="000000"/>
              <w:bottom w:val="single" w:sz="12" w:space="0" w:color="000000"/>
              <w:right w:val="single" w:sz="12" w:space="0" w:color="000000"/>
            </w:tcBorders>
            <w:shd w:val="clear" w:color="auto" w:fill="E0EDF9"/>
            <w:vAlign w:val="center"/>
          </w:tcPr>
          <w:p w14:paraId="3820872C" w14:textId="77777777" w:rsidR="008C648D" w:rsidRPr="00C54741" w:rsidRDefault="008C648D">
            <w:pPr>
              <w:spacing w:before="60" w:after="60" w:line="240" w:lineRule="auto"/>
              <w:jc w:val="center"/>
              <w:rPr>
                <w:sz w:val="18"/>
                <w:szCs w:val="18"/>
              </w:rPr>
            </w:pPr>
            <w:r>
              <w:rPr>
                <w:rFonts w:ascii="Arial" w:hAnsi="Arial" w:cs="Arial"/>
                <w:b/>
                <w:bCs/>
                <w:sz w:val="18"/>
                <w:szCs w:val="18"/>
              </w:rPr>
              <w:t>Forecast</w:t>
            </w:r>
            <w:r w:rsidRPr="00C54741">
              <w:rPr>
                <w:rFonts w:ascii="Arial" w:hAnsi="Arial" w:cs="Arial"/>
                <w:b/>
                <w:bCs/>
                <w:sz w:val="18"/>
                <w:szCs w:val="18"/>
              </w:rPr>
              <w:t xml:space="preserve"> </w:t>
            </w:r>
            <w:r>
              <w:rPr>
                <w:rFonts w:ascii="Arial" w:hAnsi="Arial" w:cs="Arial"/>
                <w:b/>
                <w:bCs/>
                <w:sz w:val="18"/>
                <w:szCs w:val="18"/>
              </w:rPr>
              <w:t xml:space="preserve"> year end</w:t>
            </w:r>
            <w:r>
              <w:rPr>
                <w:rFonts w:ascii="Arial" w:hAnsi="Arial" w:cs="Arial"/>
                <w:b/>
                <w:bCs/>
                <w:sz w:val="18"/>
                <w:szCs w:val="18"/>
              </w:rPr>
              <w:br/>
              <w:t>status</w:t>
            </w:r>
          </w:p>
        </w:tc>
        <w:tc>
          <w:tcPr>
            <w:tcW w:w="1456" w:type="dxa"/>
            <w:tcBorders>
              <w:top w:val="single" w:sz="12" w:space="0" w:color="000000"/>
              <w:bottom w:val="single" w:sz="12" w:space="0" w:color="000000"/>
              <w:right w:val="single" w:sz="12" w:space="0" w:color="000000"/>
            </w:tcBorders>
            <w:shd w:val="clear" w:color="auto" w:fill="E0EDF9"/>
            <w:vAlign w:val="center"/>
          </w:tcPr>
          <w:p w14:paraId="52EE7076" w14:textId="77777777" w:rsidR="008C648D" w:rsidRDefault="008C648D">
            <w:pPr>
              <w:spacing w:before="60" w:after="60" w:line="240" w:lineRule="auto"/>
              <w:jc w:val="center"/>
              <w:rPr>
                <w:rFonts w:ascii="Arial" w:hAnsi="Arial" w:cs="Arial"/>
                <w:b/>
                <w:bCs/>
                <w:sz w:val="18"/>
                <w:szCs w:val="18"/>
              </w:rPr>
            </w:pPr>
            <w:r>
              <w:rPr>
                <w:rFonts w:ascii="Arial" w:hAnsi="Arial" w:cs="Arial"/>
                <w:b/>
                <w:bCs/>
                <w:sz w:val="18"/>
                <w:szCs w:val="18"/>
              </w:rPr>
              <w:t>Total number of outputs over the regulatory period</w:t>
            </w:r>
          </w:p>
        </w:tc>
      </w:tr>
      <w:tr w:rsidR="008C648D" w:rsidRPr="00B87486" w14:paraId="2D967400" w14:textId="77777777" w:rsidTr="0023001E">
        <w:trPr>
          <w:trHeight w:val="312"/>
        </w:trPr>
        <w:tc>
          <w:tcPr>
            <w:tcW w:w="1272" w:type="dxa"/>
            <w:vMerge w:val="restart"/>
            <w:tcBorders>
              <w:top w:val="single" w:sz="12" w:space="0" w:color="000000"/>
              <w:left w:val="single" w:sz="12" w:space="0" w:color="000000"/>
              <w:bottom w:val="single" w:sz="12" w:space="0" w:color="000000"/>
            </w:tcBorders>
            <w:vAlign w:val="center"/>
          </w:tcPr>
          <w:p w14:paraId="32471595" w14:textId="77777777" w:rsidR="008C648D" w:rsidRPr="005279C8" w:rsidRDefault="008C648D" w:rsidP="00C82CD7">
            <w:pPr>
              <w:spacing w:after="0"/>
              <w:rPr>
                <w:rFonts w:ascii="Arial" w:hAnsi="Arial" w:cs="Arial"/>
                <w:sz w:val="16"/>
                <w:szCs w:val="16"/>
              </w:rPr>
            </w:pPr>
            <w:r w:rsidRPr="00191E39">
              <w:rPr>
                <w:rFonts w:ascii="Arial" w:hAnsi="Arial" w:cs="Arial"/>
                <w:sz w:val="16"/>
                <w:szCs w:val="16"/>
              </w:rPr>
              <w:t xml:space="preserve">Protecting </w:t>
            </w:r>
            <w:r w:rsidRPr="005279C8">
              <w:rPr>
                <w:rFonts w:ascii="Arial" w:hAnsi="Arial" w:cs="Arial"/>
                <w:sz w:val="16"/>
                <w:szCs w:val="16"/>
              </w:rPr>
              <w:t>and enhancing the environment</w:t>
            </w:r>
          </w:p>
        </w:tc>
        <w:tc>
          <w:tcPr>
            <w:tcW w:w="2981" w:type="dxa"/>
            <w:tcBorders>
              <w:top w:val="single" w:sz="12" w:space="0" w:color="000000"/>
            </w:tcBorders>
            <w:vAlign w:val="center"/>
          </w:tcPr>
          <w:p w14:paraId="6C13D243" w14:textId="77777777" w:rsidR="008C648D" w:rsidRPr="0001089F" w:rsidRDefault="008C648D" w:rsidP="00C82CD7">
            <w:pPr>
              <w:spacing w:after="0"/>
              <w:rPr>
                <w:rFonts w:ascii="Arial" w:hAnsi="Arial" w:cs="Arial"/>
                <w:sz w:val="16"/>
                <w:szCs w:val="16"/>
              </w:rPr>
            </w:pPr>
            <w:r w:rsidRPr="002F3F4B">
              <w:rPr>
                <w:rFonts w:ascii="Arial" w:hAnsi="Arial" w:cs="Arial"/>
                <w:sz w:val="16"/>
                <w:szCs w:val="16"/>
              </w:rPr>
              <w:t xml:space="preserve">Number of </w:t>
            </w:r>
            <w:proofErr w:type="spellStart"/>
            <w:r w:rsidRPr="002F3F4B">
              <w:rPr>
                <w:rFonts w:ascii="Arial" w:hAnsi="Arial" w:cs="Arial"/>
                <w:sz w:val="16"/>
                <w:szCs w:val="16"/>
              </w:rPr>
              <w:t>WWTWs</w:t>
            </w:r>
            <w:proofErr w:type="spellEnd"/>
            <w:r w:rsidRPr="002F3F4B">
              <w:rPr>
                <w:rFonts w:ascii="Arial" w:hAnsi="Arial" w:cs="Arial"/>
                <w:sz w:val="16"/>
                <w:szCs w:val="16"/>
              </w:rPr>
              <w:t xml:space="preserve"> improved to meet UWWTD</w:t>
            </w:r>
          </w:p>
        </w:tc>
        <w:tc>
          <w:tcPr>
            <w:tcW w:w="852" w:type="dxa"/>
            <w:tcBorders>
              <w:top w:val="single" w:sz="12" w:space="0" w:color="000000"/>
              <w:right w:val="single" w:sz="4" w:space="0" w:color="000000"/>
            </w:tcBorders>
            <w:shd w:val="clear" w:color="auto" w:fill="auto"/>
            <w:vAlign w:val="center"/>
          </w:tcPr>
          <w:p w14:paraId="4F764C13" w14:textId="77777777" w:rsidR="008C648D" w:rsidRPr="0001089F" w:rsidRDefault="008C648D" w:rsidP="00737AFE">
            <w:pPr>
              <w:spacing w:after="0" w:line="240" w:lineRule="auto"/>
              <w:jc w:val="center"/>
              <w:rPr>
                <w:rFonts w:ascii="Arial" w:hAnsi="Arial" w:cs="Arial"/>
                <w:bCs/>
                <w:sz w:val="16"/>
                <w:szCs w:val="16"/>
              </w:rPr>
            </w:pPr>
            <w:r>
              <w:rPr>
                <w:rFonts w:ascii="Arial" w:hAnsi="Arial" w:cs="Arial"/>
                <w:color w:val="000000"/>
                <w:sz w:val="16"/>
                <w:szCs w:val="16"/>
              </w:rPr>
              <w:t>5</w:t>
            </w:r>
          </w:p>
        </w:tc>
        <w:tc>
          <w:tcPr>
            <w:tcW w:w="851" w:type="dxa"/>
            <w:tcBorders>
              <w:top w:val="single" w:sz="12" w:space="0" w:color="000000"/>
              <w:left w:val="single" w:sz="4" w:space="0" w:color="000000"/>
              <w:right w:val="single" w:sz="4" w:space="0" w:color="000000"/>
            </w:tcBorders>
            <w:vAlign w:val="center"/>
          </w:tcPr>
          <w:p w14:paraId="085158EF" w14:textId="77777777" w:rsidR="008C648D" w:rsidRPr="008E584B" w:rsidRDefault="008C648D" w:rsidP="00737AFE">
            <w:pPr>
              <w:spacing w:after="0" w:line="240" w:lineRule="auto"/>
              <w:jc w:val="center"/>
              <w:rPr>
                <w:rFonts w:ascii="Arial" w:hAnsi="Arial" w:cs="Arial"/>
                <w:bCs/>
                <w:sz w:val="16"/>
                <w:szCs w:val="16"/>
              </w:rPr>
            </w:pPr>
            <w:r w:rsidRPr="008E584B">
              <w:rPr>
                <w:rFonts w:ascii="Arial" w:hAnsi="Arial" w:cs="Arial"/>
                <w:color w:val="000000"/>
                <w:sz w:val="16"/>
                <w:szCs w:val="16"/>
              </w:rPr>
              <w:t>5</w:t>
            </w:r>
          </w:p>
        </w:tc>
        <w:tc>
          <w:tcPr>
            <w:tcW w:w="852" w:type="dxa"/>
            <w:tcBorders>
              <w:top w:val="single" w:sz="12" w:space="0" w:color="000000"/>
              <w:left w:val="single" w:sz="4" w:space="0" w:color="000000"/>
              <w:right w:val="single" w:sz="4" w:space="0" w:color="000000"/>
            </w:tcBorders>
            <w:vAlign w:val="center"/>
          </w:tcPr>
          <w:p w14:paraId="33CD8F1C" w14:textId="77777777" w:rsidR="008C648D" w:rsidRPr="008E584B" w:rsidRDefault="008C648D" w:rsidP="00737AFE">
            <w:pPr>
              <w:spacing w:after="0" w:line="240" w:lineRule="auto"/>
              <w:jc w:val="center"/>
              <w:rPr>
                <w:rFonts w:ascii="Arial" w:hAnsi="Arial" w:cs="Arial"/>
                <w:bCs/>
                <w:sz w:val="16"/>
                <w:szCs w:val="16"/>
              </w:rPr>
            </w:pPr>
            <w:r w:rsidRPr="008E584B">
              <w:rPr>
                <w:rFonts w:ascii="Arial" w:hAnsi="Arial" w:cs="Arial"/>
                <w:bCs/>
                <w:sz w:val="16"/>
                <w:szCs w:val="16"/>
              </w:rPr>
              <w:t>0</w:t>
            </w:r>
          </w:p>
        </w:tc>
        <w:tc>
          <w:tcPr>
            <w:tcW w:w="1095" w:type="dxa"/>
            <w:tcBorders>
              <w:top w:val="single" w:sz="12" w:space="0" w:color="000000"/>
              <w:left w:val="single" w:sz="4" w:space="0" w:color="000000"/>
              <w:bottom w:val="single" w:sz="4" w:space="0" w:color="000000"/>
              <w:right w:val="single" w:sz="12" w:space="0" w:color="000000"/>
            </w:tcBorders>
            <w:shd w:val="clear" w:color="auto" w:fill="99FF66"/>
            <w:vAlign w:val="center"/>
          </w:tcPr>
          <w:p w14:paraId="6FF7E72E" w14:textId="77777777" w:rsidR="008C648D" w:rsidRPr="008E584B" w:rsidRDefault="008C648D" w:rsidP="00737AFE">
            <w:pPr>
              <w:spacing w:after="0" w:line="240" w:lineRule="auto"/>
              <w:jc w:val="center"/>
              <w:rPr>
                <w:rFonts w:ascii="Arial" w:hAnsi="Arial" w:cs="Arial"/>
                <w:bCs/>
                <w:sz w:val="16"/>
                <w:szCs w:val="16"/>
              </w:rPr>
            </w:pPr>
            <w:r>
              <w:rPr>
                <w:rFonts w:ascii="Arial" w:hAnsi="Arial" w:cs="Arial"/>
                <w:color w:val="000000"/>
                <w:sz w:val="16"/>
                <w:szCs w:val="16"/>
              </w:rPr>
              <w:t xml:space="preserve">5 - </w:t>
            </w:r>
            <w:r w:rsidRPr="008E584B">
              <w:rPr>
                <w:rFonts w:ascii="Arial" w:hAnsi="Arial" w:cs="Arial"/>
                <w:color w:val="000000"/>
                <w:sz w:val="16"/>
                <w:szCs w:val="16"/>
              </w:rPr>
              <w:t>6</w:t>
            </w:r>
          </w:p>
        </w:tc>
        <w:tc>
          <w:tcPr>
            <w:tcW w:w="1456" w:type="dxa"/>
            <w:tcBorders>
              <w:top w:val="single" w:sz="12" w:space="0" w:color="000000"/>
              <w:bottom w:val="single" w:sz="4" w:space="0" w:color="000000"/>
              <w:right w:val="single" w:sz="12" w:space="0" w:color="000000"/>
            </w:tcBorders>
            <w:vAlign w:val="center"/>
          </w:tcPr>
          <w:p w14:paraId="146CD0E4" w14:textId="77777777" w:rsidR="008C648D" w:rsidRPr="001B30B5" w:rsidRDefault="008C648D" w:rsidP="00737AFE">
            <w:pPr>
              <w:spacing w:after="0" w:line="240" w:lineRule="auto"/>
              <w:jc w:val="center"/>
              <w:rPr>
                <w:rFonts w:ascii="Arial" w:hAnsi="Arial" w:cs="Arial"/>
                <w:bCs/>
                <w:sz w:val="16"/>
                <w:szCs w:val="16"/>
              </w:rPr>
            </w:pPr>
            <w:r>
              <w:rPr>
                <w:rFonts w:ascii="Arial" w:hAnsi="Arial" w:cs="Arial"/>
                <w:bCs/>
                <w:sz w:val="16"/>
                <w:szCs w:val="16"/>
              </w:rPr>
              <w:t>22</w:t>
            </w:r>
          </w:p>
        </w:tc>
      </w:tr>
      <w:tr w:rsidR="008C648D" w:rsidRPr="00B87486" w14:paraId="55D06F05" w14:textId="77777777" w:rsidTr="0023001E">
        <w:trPr>
          <w:trHeight w:val="312"/>
        </w:trPr>
        <w:tc>
          <w:tcPr>
            <w:tcW w:w="1272" w:type="dxa"/>
            <w:vMerge/>
            <w:tcBorders>
              <w:left w:val="single" w:sz="12" w:space="0" w:color="000000"/>
              <w:bottom w:val="single" w:sz="12" w:space="0" w:color="000000"/>
            </w:tcBorders>
            <w:vAlign w:val="center"/>
          </w:tcPr>
          <w:p w14:paraId="7FECEE2D" w14:textId="77777777" w:rsidR="008C648D" w:rsidRPr="005279C8" w:rsidRDefault="008C648D" w:rsidP="00C82CD7">
            <w:pPr>
              <w:spacing w:after="0"/>
              <w:rPr>
                <w:rFonts w:ascii="Arial" w:hAnsi="Arial" w:cs="Arial"/>
                <w:sz w:val="16"/>
                <w:szCs w:val="16"/>
              </w:rPr>
            </w:pPr>
          </w:p>
        </w:tc>
        <w:tc>
          <w:tcPr>
            <w:tcW w:w="2981" w:type="dxa"/>
            <w:vAlign w:val="center"/>
          </w:tcPr>
          <w:p w14:paraId="3F7A2DCF" w14:textId="77777777" w:rsidR="008C648D" w:rsidRPr="0001089F" w:rsidRDefault="008C648D" w:rsidP="00C82CD7">
            <w:pPr>
              <w:spacing w:after="0"/>
              <w:rPr>
                <w:rFonts w:ascii="Arial" w:hAnsi="Arial" w:cs="Arial"/>
                <w:sz w:val="16"/>
                <w:szCs w:val="16"/>
              </w:rPr>
            </w:pPr>
            <w:r w:rsidRPr="002F3F4B">
              <w:rPr>
                <w:rFonts w:ascii="Arial" w:hAnsi="Arial" w:cs="Arial"/>
                <w:sz w:val="16"/>
                <w:szCs w:val="16"/>
              </w:rPr>
              <w:t>Number of waste water networks improved to meet UWWTD</w:t>
            </w:r>
            <w:r w:rsidRPr="0001089F">
              <w:rPr>
                <w:rFonts w:ascii="Arial" w:hAnsi="Arial" w:cs="Arial"/>
                <w:sz w:val="16"/>
                <w:szCs w:val="16"/>
              </w:rPr>
              <w:t xml:space="preserve"> </w:t>
            </w:r>
          </w:p>
        </w:tc>
        <w:tc>
          <w:tcPr>
            <w:tcW w:w="852" w:type="dxa"/>
            <w:tcBorders>
              <w:right w:val="single" w:sz="4" w:space="0" w:color="000000"/>
            </w:tcBorders>
            <w:shd w:val="clear" w:color="auto" w:fill="auto"/>
            <w:vAlign w:val="center"/>
          </w:tcPr>
          <w:p w14:paraId="4D3C229C" w14:textId="77777777" w:rsidR="008C648D" w:rsidRPr="0001089F" w:rsidRDefault="008C648D" w:rsidP="00737AFE">
            <w:pPr>
              <w:spacing w:after="0" w:line="240" w:lineRule="auto"/>
              <w:jc w:val="center"/>
              <w:rPr>
                <w:rFonts w:ascii="Arial" w:hAnsi="Arial" w:cs="Arial"/>
                <w:bCs/>
                <w:sz w:val="16"/>
                <w:szCs w:val="16"/>
              </w:rPr>
            </w:pPr>
            <w:r w:rsidRPr="005F239D">
              <w:rPr>
                <w:rFonts w:ascii="Arial" w:hAnsi="Arial" w:cs="Arial"/>
                <w:color w:val="000000"/>
                <w:sz w:val="16"/>
                <w:szCs w:val="16"/>
              </w:rPr>
              <w:t>0</w:t>
            </w:r>
          </w:p>
        </w:tc>
        <w:tc>
          <w:tcPr>
            <w:tcW w:w="851" w:type="dxa"/>
            <w:tcBorders>
              <w:left w:val="single" w:sz="4" w:space="0" w:color="000000"/>
              <w:right w:val="single" w:sz="4" w:space="0" w:color="000000"/>
            </w:tcBorders>
            <w:vAlign w:val="center"/>
          </w:tcPr>
          <w:p w14:paraId="17088E4B" w14:textId="77777777" w:rsidR="008C648D" w:rsidRPr="00806FE7" w:rsidRDefault="008C648D" w:rsidP="00737AFE">
            <w:pPr>
              <w:spacing w:after="0" w:line="240" w:lineRule="auto"/>
              <w:jc w:val="center"/>
              <w:rPr>
                <w:rFonts w:ascii="Arial" w:hAnsi="Arial" w:cs="Arial"/>
                <w:bCs/>
                <w:sz w:val="16"/>
                <w:szCs w:val="16"/>
              </w:rPr>
            </w:pPr>
            <w:r w:rsidRPr="00957071">
              <w:rPr>
                <w:rFonts w:ascii="Arial" w:hAnsi="Arial" w:cs="Arial"/>
                <w:color w:val="000000"/>
                <w:sz w:val="16"/>
                <w:szCs w:val="16"/>
              </w:rPr>
              <w:t>1</w:t>
            </w:r>
          </w:p>
        </w:tc>
        <w:tc>
          <w:tcPr>
            <w:tcW w:w="852" w:type="dxa"/>
            <w:tcBorders>
              <w:left w:val="single" w:sz="4" w:space="0" w:color="000000"/>
              <w:right w:val="single" w:sz="4" w:space="0" w:color="000000"/>
            </w:tcBorders>
            <w:vAlign w:val="center"/>
          </w:tcPr>
          <w:p w14:paraId="3E47A1FF" w14:textId="77777777" w:rsidR="008C648D" w:rsidRPr="00ED0995" w:rsidRDefault="008C648D" w:rsidP="00737AFE">
            <w:pPr>
              <w:spacing w:after="0" w:line="240" w:lineRule="auto"/>
              <w:jc w:val="center"/>
              <w:rPr>
                <w:rFonts w:ascii="Arial" w:hAnsi="Arial" w:cs="Arial"/>
                <w:bCs/>
                <w:sz w:val="16"/>
                <w:szCs w:val="16"/>
              </w:rPr>
            </w:pPr>
            <w:r w:rsidRPr="00ED0995">
              <w:rPr>
                <w:rFonts w:ascii="Arial" w:hAnsi="Arial" w:cs="Arial"/>
                <w:bCs/>
                <w:sz w:val="16"/>
                <w:szCs w:val="16"/>
              </w:rPr>
              <w:t>0</w:t>
            </w:r>
          </w:p>
        </w:tc>
        <w:tc>
          <w:tcPr>
            <w:tcW w:w="1095" w:type="dxa"/>
            <w:tcBorders>
              <w:left w:val="single" w:sz="4" w:space="0" w:color="000000"/>
              <w:bottom w:val="single" w:sz="4" w:space="0" w:color="000000"/>
              <w:right w:val="single" w:sz="12" w:space="0" w:color="000000"/>
            </w:tcBorders>
            <w:shd w:val="clear" w:color="auto" w:fill="99FF66"/>
            <w:vAlign w:val="center"/>
          </w:tcPr>
          <w:p w14:paraId="5D1E89CE" w14:textId="77777777" w:rsidR="008C648D" w:rsidRPr="00ED0995" w:rsidRDefault="00FC356D" w:rsidP="00737AFE">
            <w:pPr>
              <w:spacing w:after="0" w:line="240" w:lineRule="auto"/>
              <w:jc w:val="center"/>
              <w:rPr>
                <w:rFonts w:ascii="Arial" w:hAnsi="Arial" w:cs="Arial"/>
                <w:bCs/>
                <w:sz w:val="16"/>
                <w:szCs w:val="16"/>
              </w:rPr>
            </w:pPr>
            <w:r>
              <w:rPr>
                <w:rFonts w:ascii="Arial" w:hAnsi="Arial" w:cs="Arial"/>
                <w:color w:val="000000"/>
                <w:sz w:val="16"/>
                <w:szCs w:val="16"/>
              </w:rPr>
              <w:t>3 - 6</w:t>
            </w:r>
          </w:p>
        </w:tc>
        <w:tc>
          <w:tcPr>
            <w:tcW w:w="1456" w:type="dxa"/>
            <w:tcBorders>
              <w:bottom w:val="single" w:sz="4" w:space="0" w:color="000000"/>
              <w:right w:val="single" w:sz="12" w:space="0" w:color="000000"/>
            </w:tcBorders>
            <w:vAlign w:val="center"/>
          </w:tcPr>
          <w:p w14:paraId="77997953" w14:textId="77777777" w:rsidR="008C648D" w:rsidRPr="001B30B5" w:rsidRDefault="008C648D" w:rsidP="00737AFE">
            <w:pPr>
              <w:spacing w:after="0" w:line="240" w:lineRule="auto"/>
              <w:jc w:val="center"/>
              <w:rPr>
                <w:rFonts w:ascii="Arial" w:hAnsi="Arial" w:cs="Arial"/>
                <w:bCs/>
                <w:sz w:val="16"/>
                <w:szCs w:val="16"/>
              </w:rPr>
            </w:pPr>
            <w:r>
              <w:rPr>
                <w:rFonts w:ascii="Arial" w:hAnsi="Arial" w:cs="Arial"/>
                <w:bCs/>
                <w:sz w:val="16"/>
                <w:szCs w:val="16"/>
              </w:rPr>
              <w:t>62</w:t>
            </w:r>
          </w:p>
        </w:tc>
      </w:tr>
      <w:tr w:rsidR="008C648D" w:rsidRPr="00B87486" w14:paraId="44121693" w14:textId="77777777" w:rsidTr="0023001E">
        <w:trPr>
          <w:trHeight w:val="312"/>
        </w:trPr>
        <w:tc>
          <w:tcPr>
            <w:tcW w:w="1272" w:type="dxa"/>
            <w:vMerge/>
            <w:tcBorders>
              <w:left w:val="single" w:sz="12" w:space="0" w:color="000000"/>
              <w:bottom w:val="single" w:sz="12" w:space="0" w:color="000000"/>
            </w:tcBorders>
            <w:vAlign w:val="center"/>
          </w:tcPr>
          <w:p w14:paraId="383FF50C" w14:textId="77777777" w:rsidR="008C648D" w:rsidRPr="005279C8" w:rsidRDefault="008C648D" w:rsidP="00C82CD7">
            <w:pPr>
              <w:spacing w:after="0"/>
              <w:rPr>
                <w:rFonts w:ascii="Arial" w:hAnsi="Arial" w:cs="Arial"/>
                <w:sz w:val="16"/>
                <w:szCs w:val="16"/>
              </w:rPr>
            </w:pPr>
          </w:p>
        </w:tc>
        <w:tc>
          <w:tcPr>
            <w:tcW w:w="2981" w:type="dxa"/>
            <w:vAlign w:val="center"/>
          </w:tcPr>
          <w:p w14:paraId="08A8AC39" w14:textId="77777777" w:rsidR="008C648D" w:rsidRPr="002F3F4B" w:rsidRDefault="008C648D" w:rsidP="00C82CD7">
            <w:pPr>
              <w:spacing w:after="0"/>
              <w:rPr>
                <w:rFonts w:ascii="Arial" w:hAnsi="Arial" w:cs="Arial"/>
                <w:sz w:val="16"/>
                <w:szCs w:val="16"/>
              </w:rPr>
            </w:pPr>
            <w:r w:rsidRPr="0001089F">
              <w:rPr>
                <w:rFonts w:ascii="Arial" w:hAnsi="Arial" w:cs="Arial"/>
                <w:sz w:val="16"/>
                <w:szCs w:val="16"/>
              </w:rPr>
              <w:t xml:space="preserve">Number of improvements required to meet UWWTD - Glasgow completion </w:t>
            </w:r>
          </w:p>
        </w:tc>
        <w:tc>
          <w:tcPr>
            <w:tcW w:w="852" w:type="dxa"/>
            <w:tcBorders>
              <w:right w:val="single" w:sz="4" w:space="0" w:color="000000"/>
            </w:tcBorders>
            <w:shd w:val="clear" w:color="auto" w:fill="auto"/>
            <w:vAlign w:val="center"/>
          </w:tcPr>
          <w:p w14:paraId="49E3B889" w14:textId="77777777" w:rsidR="008C648D" w:rsidRPr="0001089F" w:rsidRDefault="008C648D" w:rsidP="00737AFE">
            <w:pPr>
              <w:spacing w:after="0" w:line="240" w:lineRule="auto"/>
              <w:jc w:val="center"/>
              <w:rPr>
                <w:rFonts w:ascii="Arial" w:hAnsi="Arial" w:cs="Arial"/>
                <w:bCs/>
                <w:sz w:val="16"/>
                <w:szCs w:val="16"/>
              </w:rPr>
            </w:pPr>
            <w:r>
              <w:rPr>
                <w:rFonts w:ascii="Arial" w:hAnsi="Arial" w:cs="Arial"/>
                <w:color w:val="000000"/>
                <w:sz w:val="16"/>
                <w:szCs w:val="16"/>
              </w:rPr>
              <w:t>6</w:t>
            </w:r>
          </w:p>
        </w:tc>
        <w:tc>
          <w:tcPr>
            <w:tcW w:w="851" w:type="dxa"/>
            <w:tcBorders>
              <w:left w:val="single" w:sz="4" w:space="0" w:color="000000"/>
              <w:right w:val="single" w:sz="4" w:space="0" w:color="000000"/>
            </w:tcBorders>
            <w:vAlign w:val="center"/>
          </w:tcPr>
          <w:p w14:paraId="402B3197" w14:textId="77777777" w:rsidR="008C648D" w:rsidRPr="00806FE7" w:rsidRDefault="008C648D" w:rsidP="00737AFE">
            <w:pPr>
              <w:spacing w:after="0" w:line="240" w:lineRule="auto"/>
              <w:jc w:val="center"/>
              <w:rPr>
                <w:rFonts w:ascii="Arial" w:hAnsi="Arial" w:cs="Arial"/>
                <w:bCs/>
                <w:sz w:val="16"/>
                <w:szCs w:val="16"/>
              </w:rPr>
            </w:pPr>
            <w:r w:rsidRPr="00957071">
              <w:rPr>
                <w:rFonts w:ascii="Arial" w:hAnsi="Arial" w:cs="Arial"/>
                <w:color w:val="000000"/>
                <w:sz w:val="16"/>
                <w:szCs w:val="16"/>
              </w:rPr>
              <w:t>7</w:t>
            </w:r>
          </w:p>
        </w:tc>
        <w:tc>
          <w:tcPr>
            <w:tcW w:w="852" w:type="dxa"/>
            <w:tcBorders>
              <w:left w:val="single" w:sz="4" w:space="0" w:color="000000"/>
              <w:right w:val="single" w:sz="4" w:space="0" w:color="000000"/>
            </w:tcBorders>
            <w:vAlign w:val="center"/>
          </w:tcPr>
          <w:p w14:paraId="541A552E" w14:textId="77777777" w:rsidR="008C648D" w:rsidRPr="00FF728C" w:rsidRDefault="008C648D" w:rsidP="00737AFE">
            <w:pPr>
              <w:spacing w:after="0" w:line="240" w:lineRule="auto"/>
              <w:jc w:val="center"/>
              <w:rPr>
                <w:rFonts w:ascii="Arial" w:hAnsi="Arial" w:cs="Arial"/>
                <w:bCs/>
                <w:sz w:val="16"/>
                <w:szCs w:val="16"/>
              </w:rPr>
            </w:pPr>
            <w:r w:rsidRPr="00FF728C">
              <w:rPr>
                <w:rFonts w:ascii="Arial" w:hAnsi="Arial" w:cs="Arial"/>
                <w:bCs/>
                <w:sz w:val="16"/>
                <w:szCs w:val="16"/>
              </w:rPr>
              <w:t>36</w:t>
            </w:r>
          </w:p>
        </w:tc>
        <w:tc>
          <w:tcPr>
            <w:tcW w:w="1095" w:type="dxa"/>
            <w:tcBorders>
              <w:left w:val="single" w:sz="4" w:space="0" w:color="000000"/>
              <w:bottom w:val="single" w:sz="4" w:space="0" w:color="000000"/>
              <w:right w:val="single" w:sz="12" w:space="0" w:color="000000"/>
            </w:tcBorders>
            <w:shd w:val="clear" w:color="auto" w:fill="FF0000"/>
            <w:vAlign w:val="center"/>
          </w:tcPr>
          <w:p w14:paraId="1142B20F" w14:textId="77777777" w:rsidR="008C648D" w:rsidRPr="00FF728C" w:rsidRDefault="008C648D">
            <w:pPr>
              <w:spacing w:after="0" w:line="240" w:lineRule="auto"/>
              <w:jc w:val="center"/>
              <w:rPr>
                <w:rFonts w:ascii="Arial" w:hAnsi="Arial" w:cs="Arial"/>
                <w:bCs/>
                <w:sz w:val="16"/>
                <w:szCs w:val="16"/>
              </w:rPr>
            </w:pPr>
            <w:r>
              <w:rPr>
                <w:rFonts w:ascii="Arial" w:hAnsi="Arial" w:cs="Arial"/>
                <w:color w:val="000000"/>
                <w:sz w:val="16"/>
                <w:szCs w:val="16"/>
              </w:rPr>
              <w:t>21 - 2</w:t>
            </w:r>
            <w:r w:rsidR="00CD4BBE">
              <w:rPr>
                <w:rFonts w:ascii="Arial" w:hAnsi="Arial" w:cs="Arial"/>
                <w:color w:val="000000"/>
                <w:sz w:val="16"/>
                <w:szCs w:val="16"/>
              </w:rPr>
              <w:t>4</w:t>
            </w:r>
          </w:p>
        </w:tc>
        <w:tc>
          <w:tcPr>
            <w:tcW w:w="1456" w:type="dxa"/>
            <w:tcBorders>
              <w:bottom w:val="single" w:sz="4" w:space="0" w:color="000000"/>
              <w:right w:val="single" w:sz="12" w:space="0" w:color="000000"/>
            </w:tcBorders>
            <w:vAlign w:val="center"/>
          </w:tcPr>
          <w:p w14:paraId="46B5B5F3" w14:textId="77777777" w:rsidR="008C648D" w:rsidRDefault="008C648D" w:rsidP="007E15A2">
            <w:pPr>
              <w:spacing w:after="0" w:line="240" w:lineRule="auto"/>
              <w:jc w:val="center"/>
              <w:rPr>
                <w:rFonts w:ascii="Arial" w:hAnsi="Arial" w:cs="Arial"/>
                <w:bCs/>
                <w:sz w:val="16"/>
                <w:szCs w:val="16"/>
              </w:rPr>
            </w:pPr>
            <w:r>
              <w:rPr>
                <w:rFonts w:ascii="Arial" w:hAnsi="Arial" w:cs="Arial"/>
                <w:bCs/>
                <w:sz w:val="16"/>
                <w:szCs w:val="16"/>
              </w:rPr>
              <w:t>94</w:t>
            </w:r>
          </w:p>
        </w:tc>
      </w:tr>
      <w:tr w:rsidR="008C648D" w:rsidRPr="00B87486" w14:paraId="75F2DD13" w14:textId="77777777" w:rsidTr="0023001E">
        <w:trPr>
          <w:trHeight w:val="312"/>
        </w:trPr>
        <w:tc>
          <w:tcPr>
            <w:tcW w:w="1272" w:type="dxa"/>
            <w:vMerge/>
            <w:tcBorders>
              <w:left w:val="single" w:sz="12" w:space="0" w:color="000000"/>
              <w:bottom w:val="single" w:sz="12" w:space="0" w:color="000000"/>
            </w:tcBorders>
            <w:vAlign w:val="center"/>
          </w:tcPr>
          <w:p w14:paraId="04F8E371" w14:textId="77777777" w:rsidR="008C648D" w:rsidRPr="005279C8" w:rsidRDefault="008C648D" w:rsidP="00C82CD7">
            <w:pPr>
              <w:spacing w:after="0"/>
              <w:rPr>
                <w:rFonts w:ascii="Arial" w:hAnsi="Arial" w:cs="Arial"/>
                <w:sz w:val="16"/>
                <w:szCs w:val="16"/>
              </w:rPr>
            </w:pPr>
          </w:p>
        </w:tc>
        <w:tc>
          <w:tcPr>
            <w:tcW w:w="2981" w:type="dxa"/>
            <w:vAlign w:val="center"/>
          </w:tcPr>
          <w:p w14:paraId="5B3A17F4" w14:textId="77777777" w:rsidR="008C648D" w:rsidRPr="0001089F" w:rsidRDefault="008C648D" w:rsidP="00C82CD7">
            <w:pPr>
              <w:spacing w:after="0"/>
              <w:rPr>
                <w:rFonts w:ascii="Arial" w:hAnsi="Arial" w:cs="Arial"/>
                <w:sz w:val="16"/>
                <w:szCs w:val="16"/>
              </w:rPr>
            </w:pPr>
            <w:r w:rsidRPr="002F3F4B">
              <w:rPr>
                <w:rFonts w:ascii="Arial" w:hAnsi="Arial" w:cs="Arial"/>
                <w:sz w:val="16"/>
                <w:szCs w:val="16"/>
              </w:rPr>
              <w:t>Number of improvements required to meet the Water Framework Directive</w:t>
            </w:r>
            <w:r w:rsidRPr="0001089F">
              <w:rPr>
                <w:rFonts w:ascii="Arial" w:hAnsi="Arial" w:cs="Arial"/>
                <w:sz w:val="16"/>
                <w:szCs w:val="16"/>
              </w:rPr>
              <w:t xml:space="preserve"> </w:t>
            </w:r>
          </w:p>
        </w:tc>
        <w:tc>
          <w:tcPr>
            <w:tcW w:w="852" w:type="dxa"/>
            <w:tcBorders>
              <w:right w:val="single" w:sz="4" w:space="0" w:color="000000"/>
            </w:tcBorders>
            <w:shd w:val="clear" w:color="auto" w:fill="auto"/>
            <w:vAlign w:val="center"/>
          </w:tcPr>
          <w:p w14:paraId="5EB5C46E" w14:textId="77777777" w:rsidR="008C648D" w:rsidRPr="0001089F" w:rsidRDefault="008C648D" w:rsidP="00737AFE">
            <w:pPr>
              <w:spacing w:after="0" w:line="240" w:lineRule="auto"/>
              <w:jc w:val="center"/>
              <w:rPr>
                <w:rFonts w:ascii="Arial" w:hAnsi="Arial" w:cs="Arial"/>
                <w:bCs/>
                <w:sz w:val="16"/>
                <w:szCs w:val="16"/>
              </w:rPr>
            </w:pPr>
            <w:r w:rsidRPr="005F239D">
              <w:rPr>
                <w:rFonts w:ascii="Arial" w:hAnsi="Arial" w:cs="Arial"/>
                <w:color w:val="000000"/>
                <w:sz w:val="16"/>
                <w:szCs w:val="16"/>
              </w:rPr>
              <w:t>0</w:t>
            </w:r>
          </w:p>
        </w:tc>
        <w:tc>
          <w:tcPr>
            <w:tcW w:w="851" w:type="dxa"/>
            <w:tcBorders>
              <w:left w:val="single" w:sz="4" w:space="0" w:color="000000"/>
              <w:right w:val="single" w:sz="4" w:space="0" w:color="000000"/>
            </w:tcBorders>
            <w:vAlign w:val="center"/>
          </w:tcPr>
          <w:p w14:paraId="7E3D932A" w14:textId="77777777" w:rsidR="008C648D" w:rsidRPr="00A272B0" w:rsidRDefault="008C648D" w:rsidP="00737AFE">
            <w:pPr>
              <w:spacing w:after="0" w:line="240" w:lineRule="auto"/>
              <w:jc w:val="center"/>
              <w:rPr>
                <w:rFonts w:ascii="Arial" w:hAnsi="Arial" w:cs="Arial"/>
                <w:bCs/>
                <w:sz w:val="16"/>
                <w:szCs w:val="16"/>
              </w:rPr>
            </w:pPr>
            <w:r w:rsidRPr="00A272B0">
              <w:rPr>
                <w:rFonts w:ascii="Arial" w:hAnsi="Arial" w:cs="Arial"/>
                <w:color w:val="000000"/>
                <w:sz w:val="16"/>
                <w:szCs w:val="16"/>
              </w:rPr>
              <w:t>0</w:t>
            </w:r>
          </w:p>
        </w:tc>
        <w:tc>
          <w:tcPr>
            <w:tcW w:w="852" w:type="dxa"/>
            <w:tcBorders>
              <w:left w:val="single" w:sz="4" w:space="0" w:color="000000"/>
              <w:right w:val="single" w:sz="4" w:space="0" w:color="000000"/>
            </w:tcBorders>
            <w:vAlign w:val="center"/>
          </w:tcPr>
          <w:p w14:paraId="1B439EFB" w14:textId="77777777" w:rsidR="008C648D" w:rsidRPr="00A272B0" w:rsidRDefault="008C648D" w:rsidP="00737AFE">
            <w:pPr>
              <w:spacing w:after="0" w:line="240" w:lineRule="auto"/>
              <w:jc w:val="center"/>
              <w:rPr>
                <w:rFonts w:ascii="Arial" w:hAnsi="Arial" w:cs="Arial"/>
                <w:bCs/>
                <w:sz w:val="16"/>
                <w:szCs w:val="16"/>
              </w:rPr>
            </w:pPr>
            <w:r w:rsidRPr="00A272B0">
              <w:rPr>
                <w:rFonts w:ascii="Arial" w:hAnsi="Arial" w:cs="Arial"/>
                <w:bCs/>
                <w:sz w:val="16"/>
                <w:szCs w:val="16"/>
              </w:rPr>
              <w:t>0</w:t>
            </w:r>
          </w:p>
        </w:tc>
        <w:tc>
          <w:tcPr>
            <w:tcW w:w="1095" w:type="dxa"/>
            <w:tcBorders>
              <w:left w:val="single" w:sz="4" w:space="0" w:color="000000"/>
              <w:bottom w:val="single" w:sz="4" w:space="0" w:color="000000"/>
              <w:right w:val="single" w:sz="12" w:space="0" w:color="000000"/>
            </w:tcBorders>
            <w:shd w:val="clear" w:color="auto" w:fill="99FF66"/>
            <w:vAlign w:val="center"/>
          </w:tcPr>
          <w:p w14:paraId="0C36CC3E" w14:textId="77777777" w:rsidR="008C648D" w:rsidRPr="00A272B0" w:rsidRDefault="008C648D" w:rsidP="00737AFE">
            <w:pPr>
              <w:spacing w:after="0" w:line="240" w:lineRule="auto"/>
              <w:jc w:val="center"/>
              <w:rPr>
                <w:rFonts w:ascii="Arial" w:hAnsi="Arial" w:cs="Arial"/>
                <w:bCs/>
                <w:sz w:val="16"/>
                <w:szCs w:val="16"/>
              </w:rPr>
            </w:pPr>
            <w:r w:rsidRPr="00A272B0">
              <w:rPr>
                <w:rFonts w:ascii="Arial" w:hAnsi="Arial" w:cs="Arial"/>
                <w:color w:val="000000"/>
                <w:sz w:val="16"/>
                <w:szCs w:val="16"/>
              </w:rPr>
              <w:t>1</w:t>
            </w:r>
          </w:p>
        </w:tc>
        <w:tc>
          <w:tcPr>
            <w:tcW w:w="1456" w:type="dxa"/>
            <w:tcBorders>
              <w:bottom w:val="single" w:sz="4" w:space="0" w:color="000000"/>
              <w:right w:val="single" w:sz="12" w:space="0" w:color="000000"/>
            </w:tcBorders>
            <w:vAlign w:val="center"/>
          </w:tcPr>
          <w:p w14:paraId="2D461DD2" w14:textId="77777777" w:rsidR="008C648D" w:rsidRPr="001B30B5" w:rsidRDefault="008C648D" w:rsidP="007E15A2">
            <w:pPr>
              <w:spacing w:after="0" w:line="240" w:lineRule="auto"/>
              <w:jc w:val="center"/>
              <w:rPr>
                <w:rFonts w:ascii="Arial" w:hAnsi="Arial" w:cs="Arial"/>
                <w:bCs/>
                <w:sz w:val="16"/>
                <w:szCs w:val="16"/>
              </w:rPr>
            </w:pPr>
            <w:r>
              <w:rPr>
                <w:rFonts w:ascii="Arial" w:hAnsi="Arial" w:cs="Arial"/>
                <w:bCs/>
                <w:sz w:val="16"/>
                <w:szCs w:val="16"/>
              </w:rPr>
              <w:t>21</w:t>
            </w:r>
          </w:p>
        </w:tc>
      </w:tr>
      <w:tr w:rsidR="008C648D" w:rsidRPr="008E5D1A" w14:paraId="15A71650" w14:textId="77777777" w:rsidTr="0023001E">
        <w:trPr>
          <w:trHeight w:val="312"/>
        </w:trPr>
        <w:tc>
          <w:tcPr>
            <w:tcW w:w="1272" w:type="dxa"/>
            <w:vMerge/>
            <w:tcBorders>
              <w:left w:val="single" w:sz="12" w:space="0" w:color="000000"/>
              <w:bottom w:val="single" w:sz="12" w:space="0" w:color="000000"/>
            </w:tcBorders>
            <w:vAlign w:val="center"/>
          </w:tcPr>
          <w:p w14:paraId="01180F4D" w14:textId="77777777" w:rsidR="008C648D" w:rsidRPr="005279C8" w:rsidRDefault="008C648D" w:rsidP="00C82CD7">
            <w:pPr>
              <w:spacing w:after="0"/>
              <w:rPr>
                <w:rFonts w:ascii="Arial" w:hAnsi="Arial" w:cs="Arial"/>
                <w:sz w:val="16"/>
                <w:szCs w:val="16"/>
              </w:rPr>
            </w:pPr>
          </w:p>
        </w:tc>
        <w:tc>
          <w:tcPr>
            <w:tcW w:w="2981" w:type="dxa"/>
            <w:vAlign w:val="center"/>
          </w:tcPr>
          <w:p w14:paraId="130FB7F2" w14:textId="77777777" w:rsidR="008C648D" w:rsidRPr="0001089F" w:rsidRDefault="008C648D">
            <w:pPr>
              <w:spacing w:after="0"/>
              <w:rPr>
                <w:rFonts w:ascii="Arial" w:hAnsi="Arial" w:cs="Arial"/>
                <w:sz w:val="16"/>
                <w:szCs w:val="16"/>
              </w:rPr>
            </w:pPr>
            <w:r w:rsidRPr="002F3F4B">
              <w:rPr>
                <w:rFonts w:ascii="Arial" w:hAnsi="Arial" w:cs="Arial"/>
                <w:sz w:val="16"/>
                <w:szCs w:val="16"/>
              </w:rPr>
              <w:t xml:space="preserve">Number of </w:t>
            </w:r>
            <w:r>
              <w:rPr>
                <w:rFonts w:ascii="Arial" w:hAnsi="Arial" w:cs="Arial"/>
                <w:sz w:val="16"/>
                <w:szCs w:val="16"/>
              </w:rPr>
              <w:t>r</w:t>
            </w:r>
            <w:r w:rsidRPr="002F3F4B">
              <w:rPr>
                <w:rFonts w:ascii="Arial" w:hAnsi="Arial" w:cs="Arial"/>
                <w:sz w:val="16"/>
                <w:szCs w:val="16"/>
              </w:rPr>
              <w:t>evised Bathing Waters Directive</w:t>
            </w:r>
            <w:r>
              <w:rPr>
                <w:rFonts w:ascii="Arial" w:hAnsi="Arial" w:cs="Arial"/>
                <w:sz w:val="16"/>
                <w:szCs w:val="16"/>
              </w:rPr>
              <w:t xml:space="preserve"> studies</w:t>
            </w:r>
            <w:r w:rsidRPr="0001089F">
              <w:rPr>
                <w:rFonts w:ascii="Arial" w:hAnsi="Arial" w:cs="Arial"/>
                <w:sz w:val="16"/>
                <w:szCs w:val="16"/>
              </w:rPr>
              <w:t xml:space="preserve"> </w:t>
            </w:r>
          </w:p>
        </w:tc>
        <w:tc>
          <w:tcPr>
            <w:tcW w:w="3650" w:type="dxa"/>
            <w:gridSpan w:val="4"/>
            <w:tcBorders>
              <w:right w:val="single" w:sz="12" w:space="0" w:color="000000"/>
            </w:tcBorders>
            <w:shd w:val="clear" w:color="auto" w:fill="auto"/>
            <w:vAlign w:val="center"/>
          </w:tcPr>
          <w:p w14:paraId="5D107084" w14:textId="77777777" w:rsidR="008C648D" w:rsidRPr="00A272B0" w:rsidRDefault="008C648D" w:rsidP="005E7141">
            <w:pPr>
              <w:spacing w:after="0" w:line="240" w:lineRule="auto"/>
              <w:jc w:val="center"/>
              <w:rPr>
                <w:rFonts w:ascii="Arial" w:hAnsi="Arial" w:cs="Arial"/>
                <w:bCs/>
                <w:sz w:val="16"/>
                <w:szCs w:val="16"/>
              </w:rPr>
            </w:pPr>
            <w:r>
              <w:rPr>
                <w:rFonts w:ascii="Arial" w:hAnsi="Arial" w:cs="Arial"/>
                <w:color w:val="000000"/>
                <w:sz w:val="16"/>
                <w:szCs w:val="16"/>
              </w:rPr>
              <w:t>No outputs are planned to achieve</w:t>
            </w:r>
            <w:r>
              <w:rPr>
                <w:rFonts w:ascii="Arial" w:hAnsi="Arial" w:cs="Arial"/>
                <w:color w:val="000000"/>
                <w:sz w:val="16"/>
                <w:szCs w:val="16"/>
              </w:rPr>
              <w:br/>
              <w:t>regulatory acceptance in 2015/16</w:t>
            </w:r>
          </w:p>
        </w:tc>
        <w:tc>
          <w:tcPr>
            <w:tcW w:w="1456" w:type="dxa"/>
            <w:tcBorders>
              <w:bottom w:val="single" w:sz="4" w:space="0" w:color="000000"/>
              <w:right w:val="single" w:sz="12" w:space="0" w:color="000000"/>
            </w:tcBorders>
            <w:vAlign w:val="center"/>
          </w:tcPr>
          <w:p w14:paraId="5AB966BC" w14:textId="77777777" w:rsidR="008C648D" w:rsidRPr="008E5D1A" w:rsidRDefault="008C648D" w:rsidP="007E15A2">
            <w:pPr>
              <w:spacing w:after="0" w:line="240" w:lineRule="auto"/>
              <w:jc w:val="center"/>
              <w:rPr>
                <w:rFonts w:ascii="Arial" w:hAnsi="Arial" w:cs="Arial"/>
                <w:bCs/>
                <w:sz w:val="16"/>
                <w:szCs w:val="16"/>
              </w:rPr>
            </w:pPr>
            <w:r w:rsidRPr="00054F55">
              <w:rPr>
                <w:rFonts w:ascii="Arial" w:hAnsi="Arial" w:cs="Arial"/>
                <w:bCs/>
                <w:sz w:val="16"/>
                <w:szCs w:val="16"/>
              </w:rPr>
              <w:t>7</w:t>
            </w:r>
          </w:p>
        </w:tc>
      </w:tr>
      <w:tr w:rsidR="008C648D" w:rsidRPr="00B87486" w14:paraId="04CCFE94" w14:textId="77777777" w:rsidTr="0023001E">
        <w:trPr>
          <w:trHeight w:val="312"/>
        </w:trPr>
        <w:tc>
          <w:tcPr>
            <w:tcW w:w="1272" w:type="dxa"/>
            <w:vMerge/>
            <w:tcBorders>
              <w:left w:val="single" w:sz="12" w:space="0" w:color="000000"/>
              <w:bottom w:val="single" w:sz="12" w:space="0" w:color="000000"/>
            </w:tcBorders>
            <w:vAlign w:val="center"/>
          </w:tcPr>
          <w:p w14:paraId="460FB0A3" w14:textId="77777777" w:rsidR="008C648D" w:rsidRPr="005279C8" w:rsidRDefault="008C648D" w:rsidP="00C82CD7">
            <w:pPr>
              <w:spacing w:after="0"/>
              <w:rPr>
                <w:rFonts w:ascii="Arial" w:hAnsi="Arial" w:cs="Arial"/>
                <w:sz w:val="16"/>
                <w:szCs w:val="16"/>
              </w:rPr>
            </w:pPr>
          </w:p>
        </w:tc>
        <w:tc>
          <w:tcPr>
            <w:tcW w:w="2981" w:type="dxa"/>
            <w:vAlign w:val="center"/>
          </w:tcPr>
          <w:p w14:paraId="62F8322F" w14:textId="77777777" w:rsidR="008C648D" w:rsidRPr="0001089F" w:rsidRDefault="008C648D" w:rsidP="00C82CD7">
            <w:pPr>
              <w:spacing w:after="0"/>
              <w:rPr>
                <w:rFonts w:ascii="Arial" w:hAnsi="Arial" w:cs="Arial"/>
                <w:sz w:val="16"/>
                <w:szCs w:val="16"/>
              </w:rPr>
            </w:pPr>
            <w:r w:rsidRPr="002F3F4B">
              <w:rPr>
                <w:rFonts w:ascii="Arial" w:hAnsi="Arial" w:cs="Arial"/>
                <w:sz w:val="16"/>
                <w:szCs w:val="16"/>
              </w:rPr>
              <w:t>Number of environmental studies to inform future periods</w:t>
            </w:r>
            <w:r w:rsidRPr="0001089F">
              <w:rPr>
                <w:rFonts w:ascii="Arial" w:hAnsi="Arial" w:cs="Arial"/>
                <w:sz w:val="16"/>
                <w:szCs w:val="16"/>
              </w:rPr>
              <w:t xml:space="preserve"> </w:t>
            </w:r>
          </w:p>
        </w:tc>
        <w:tc>
          <w:tcPr>
            <w:tcW w:w="852" w:type="dxa"/>
            <w:tcBorders>
              <w:right w:val="single" w:sz="4" w:space="0" w:color="000000"/>
            </w:tcBorders>
            <w:shd w:val="clear" w:color="auto" w:fill="auto"/>
            <w:vAlign w:val="center"/>
          </w:tcPr>
          <w:p w14:paraId="66AA0E29" w14:textId="77777777" w:rsidR="008C648D" w:rsidRPr="0001089F" w:rsidRDefault="008C648D" w:rsidP="00737AFE">
            <w:pPr>
              <w:spacing w:after="0" w:line="240" w:lineRule="auto"/>
              <w:jc w:val="center"/>
              <w:rPr>
                <w:rFonts w:ascii="Arial" w:hAnsi="Arial" w:cs="Arial"/>
                <w:bCs/>
                <w:sz w:val="16"/>
                <w:szCs w:val="16"/>
              </w:rPr>
            </w:pPr>
            <w:r w:rsidRPr="005F239D">
              <w:rPr>
                <w:rFonts w:ascii="Arial" w:hAnsi="Arial" w:cs="Arial"/>
                <w:color w:val="000000"/>
                <w:sz w:val="16"/>
                <w:szCs w:val="16"/>
              </w:rPr>
              <w:t>0</w:t>
            </w:r>
          </w:p>
        </w:tc>
        <w:tc>
          <w:tcPr>
            <w:tcW w:w="851" w:type="dxa"/>
            <w:tcBorders>
              <w:left w:val="single" w:sz="4" w:space="0" w:color="000000"/>
              <w:right w:val="single" w:sz="4" w:space="0" w:color="000000"/>
            </w:tcBorders>
            <w:vAlign w:val="center"/>
          </w:tcPr>
          <w:p w14:paraId="24EE39FA" w14:textId="77777777" w:rsidR="008C648D" w:rsidRPr="00ED0995" w:rsidRDefault="008C648D" w:rsidP="00737AFE">
            <w:pPr>
              <w:spacing w:after="0" w:line="240" w:lineRule="auto"/>
              <w:jc w:val="center"/>
              <w:rPr>
                <w:rFonts w:ascii="Arial" w:hAnsi="Arial" w:cs="Arial"/>
                <w:bCs/>
                <w:sz w:val="16"/>
                <w:szCs w:val="16"/>
              </w:rPr>
            </w:pPr>
            <w:r w:rsidRPr="00ED0995">
              <w:rPr>
                <w:rFonts w:ascii="Arial" w:hAnsi="Arial" w:cs="Arial"/>
                <w:color w:val="000000"/>
                <w:sz w:val="16"/>
                <w:szCs w:val="16"/>
              </w:rPr>
              <w:t>0</w:t>
            </w:r>
          </w:p>
        </w:tc>
        <w:tc>
          <w:tcPr>
            <w:tcW w:w="852" w:type="dxa"/>
            <w:tcBorders>
              <w:left w:val="single" w:sz="4" w:space="0" w:color="000000"/>
              <w:right w:val="single" w:sz="4" w:space="0" w:color="000000"/>
            </w:tcBorders>
            <w:vAlign w:val="center"/>
          </w:tcPr>
          <w:p w14:paraId="6232E1B1" w14:textId="77777777" w:rsidR="008C648D" w:rsidRPr="00ED0995" w:rsidRDefault="008C648D" w:rsidP="00737AFE">
            <w:pPr>
              <w:spacing w:after="0" w:line="240" w:lineRule="auto"/>
              <w:jc w:val="center"/>
              <w:rPr>
                <w:rFonts w:ascii="Arial" w:hAnsi="Arial" w:cs="Arial"/>
                <w:bCs/>
                <w:sz w:val="16"/>
                <w:szCs w:val="16"/>
              </w:rPr>
            </w:pPr>
            <w:r w:rsidRPr="00ED0995">
              <w:rPr>
                <w:rFonts w:ascii="Arial" w:hAnsi="Arial" w:cs="Arial"/>
                <w:bCs/>
                <w:sz w:val="16"/>
                <w:szCs w:val="16"/>
              </w:rPr>
              <w:t>1</w:t>
            </w:r>
          </w:p>
        </w:tc>
        <w:tc>
          <w:tcPr>
            <w:tcW w:w="1095" w:type="dxa"/>
            <w:tcBorders>
              <w:left w:val="single" w:sz="4" w:space="0" w:color="000000"/>
              <w:bottom w:val="single" w:sz="4" w:space="0" w:color="000000"/>
              <w:right w:val="single" w:sz="12" w:space="0" w:color="000000"/>
            </w:tcBorders>
            <w:shd w:val="clear" w:color="auto" w:fill="FFC000"/>
            <w:vAlign w:val="center"/>
          </w:tcPr>
          <w:p w14:paraId="55093424" w14:textId="77777777" w:rsidR="008C648D" w:rsidRPr="00ED0995" w:rsidRDefault="008C648D" w:rsidP="00737AFE">
            <w:pPr>
              <w:spacing w:after="0" w:line="240" w:lineRule="auto"/>
              <w:jc w:val="center"/>
              <w:rPr>
                <w:rFonts w:ascii="Arial" w:hAnsi="Arial" w:cs="Arial"/>
                <w:bCs/>
                <w:sz w:val="16"/>
                <w:szCs w:val="16"/>
              </w:rPr>
            </w:pPr>
            <w:r w:rsidRPr="00ED0995">
              <w:rPr>
                <w:rFonts w:ascii="Arial" w:hAnsi="Arial" w:cs="Arial"/>
                <w:color w:val="000000"/>
                <w:sz w:val="16"/>
                <w:szCs w:val="16"/>
              </w:rPr>
              <w:t>0</w:t>
            </w:r>
            <w:r>
              <w:rPr>
                <w:rFonts w:ascii="Arial" w:hAnsi="Arial" w:cs="Arial"/>
                <w:color w:val="000000"/>
                <w:sz w:val="16"/>
                <w:szCs w:val="16"/>
              </w:rPr>
              <w:t xml:space="preserve"> – 1 </w:t>
            </w:r>
          </w:p>
        </w:tc>
        <w:tc>
          <w:tcPr>
            <w:tcW w:w="1456" w:type="dxa"/>
            <w:tcBorders>
              <w:bottom w:val="single" w:sz="4" w:space="0" w:color="000000"/>
              <w:right w:val="single" w:sz="12" w:space="0" w:color="000000"/>
            </w:tcBorders>
            <w:vAlign w:val="center"/>
          </w:tcPr>
          <w:p w14:paraId="5D22380C" w14:textId="77777777" w:rsidR="008C648D" w:rsidRDefault="008C648D" w:rsidP="00737AFE">
            <w:pPr>
              <w:spacing w:after="0" w:line="240" w:lineRule="auto"/>
              <w:jc w:val="center"/>
              <w:rPr>
                <w:rFonts w:ascii="Arial" w:hAnsi="Arial" w:cs="Arial"/>
                <w:bCs/>
                <w:sz w:val="16"/>
                <w:szCs w:val="16"/>
              </w:rPr>
            </w:pPr>
            <w:r>
              <w:rPr>
                <w:rFonts w:ascii="Arial" w:hAnsi="Arial" w:cs="Arial"/>
                <w:bCs/>
                <w:sz w:val="16"/>
                <w:szCs w:val="16"/>
              </w:rPr>
              <w:t>131</w:t>
            </w:r>
          </w:p>
        </w:tc>
      </w:tr>
      <w:tr w:rsidR="008C648D" w:rsidRPr="00B87486" w14:paraId="7002E73A" w14:textId="77777777" w:rsidTr="0023001E">
        <w:trPr>
          <w:trHeight w:val="870"/>
        </w:trPr>
        <w:tc>
          <w:tcPr>
            <w:tcW w:w="1272" w:type="dxa"/>
            <w:vMerge/>
            <w:tcBorders>
              <w:left w:val="single" w:sz="12" w:space="0" w:color="000000"/>
              <w:bottom w:val="single" w:sz="12" w:space="0" w:color="000000"/>
            </w:tcBorders>
            <w:vAlign w:val="center"/>
          </w:tcPr>
          <w:p w14:paraId="474F1B8D" w14:textId="77777777" w:rsidR="008C648D" w:rsidRPr="005279C8" w:rsidRDefault="008C648D" w:rsidP="00C82CD7">
            <w:pPr>
              <w:spacing w:after="0"/>
              <w:rPr>
                <w:rFonts w:ascii="Arial" w:hAnsi="Arial" w:cs="Arial"/>
                <w:sz w:val="16"/>
                <w:szCs w:val="16"/>
              </w:rPr>
            </w:pPr>
          </w:p>
        </w:tc>
        <w:tc>
          <w:tcPr>
            <w:tcW w:w="2981" w:type="dxa"/>
            <w:tcBorders>
              <w:bottom w:val="single" w:sz="4" w:space="0" w:color="000000"/>
            </w:tcBorders>
            <w:vAlign w:val="center"/>
          </w:tcPr>
          <w:p w14:paraId="40E0DB5F" w14:textId="77777777" w:rsidR="008C648D" w:rsidRPr="0001089F" w:rsidRDefault="008C648D">
            <w:pPr>
              <w:spacing w:after="0"/>
              <w:rPr>
                <w:rFonts w:ascii="Arial" w:hAnsi="Arial" w:cs="Arial"/>
                <w:sz w:val="16"/>
                <w:szCs w:val="16"/>
              </w:rPr>
            </w:pPr>
            <w:r w:rsidRPr="002F3F4B">
              <w:rPr>
                <w:rFonts w:ascii="Arial" w:hAnsi="Arial" w:cs="Arial"/>
                <w:sz w:val="16"/>
                <w:szCs w:val="16"/>
              </w:rPr>
              <w:t>N</w:t>
            </w:r>
            <w:r w:rsidRPr="0001089F">
              <w:rPr>
                <w:rFonts w:ascii="Arial" w:hAnsi="Arial" w:cs="Arial"/>
                <w:sz w:val="16"/>
                <w:szCs w:val="16"/>
              </w:rPr>
              <w:t>umber of improvements required by the Compliance Assessment Scheme; odour reduction and sludge manage</w:t>
            </w:r>
            <w:r w:rsidR="0025204A">
              <w:rPr>
                <w:rFonts w:ascii="Arial" w:hAnsi="Arial" w:cs="Arial"/>
                <w:sz w:val="16"/>
                <w:szCs w:val="16"/>
              </w:rPr>
              <w:t>ment</w:t>
            </w:r>
            <w:r w:rsidRPr="0001089F">
              <w:rPr>
                <w:rFonts w:ascii="Arial" w:hAnsi="Arial" w:cs="Arial"/>
                <w:sz w:val="16"/>
                <w:szCs w:val="16"/>
              </w:rPr>
              <w:t xml:space="preserve"> </w:t>
            </w:r>
          </w:p>
        </w:tc>
        <w:tc>
          <w:tcPr>
            <w:tcW w:w="852" w:type="dxa"/>
            <w:tcBorders>
              <w:bottom w:val="single" w:sz="4" w:space="0" w:color="000000"/>
              <w:right w:val="single" w:sz="4" w:space="0" w:color="000000"/>
            </w:tcBorders>
            <w:shd w:val="clear" w:color="auto" w:fill="auto"/>
            <w:vAlign w:val="center"/>
          </w:tcPr>
          <w:p w14:paraId="0D4C9B9D" w14:textId="77777777" w:rsidR="008C648D" w:rsidRPr="0001089F" w:rsidRDefault="008C648D" w:rsidP="00737AFE">
            <w:pPr>
              <w:spacing w:after="0" w:line="240" w:lineRule="auto"/>
              <w:jc w:val="center"/>
              <w:rPr>
                <w:rFonts w:ascii="Arial" w:hAnsi="Arial" w:cs="Arial"/>
                <w:bCs/>
                <w:sz w:val="16"/>
                <w:szCs w:val="16"/>
              </w:rPr>
            </w:pPr>
            <w:r>
              <w:rPr>
                <w:rFonts w:ascii="Arial" w:hAnsi="Arial" w:cs="Arial"/>
                <w:color w:val="000000"/>
                <w:sz w:val="16"/>
                <w:szCs w:val="16"/>
              </w:rPr>
              <w:t>6</w:t>
            </w:r>
          </w:p>
        </w:tc>
        <w:tc>
          <w:tcPr>
            <w:tcW w:w="851" w:type="dxa"/>
            <w:tcBorders>
              <w:left w:val="single" w:sz="4" w:space="0" w:color="000000"/>
              <w:bottom w:val="single" w:sz="4" w:space="0" w:color="000000"/>
              <w:right w:val="single" w:sz="4" w:space="0" w:color="000000"/>
            </w:tcBorders>
            <w:vAlign w:val="center"/>
          </w:tcPr>
          <w:p w14:paraId="4EFA902E" w14:textId="77777777" w:rsidR="008C648D" w:rsidRPr="00CE3120" w:rsidRDefault="008C648D" w:rsidP="00737AFE">
            <w:pPr>
              <w:spacing w:after="0" w:line="240" w:lineRule="auto"/>
              <w:jc w:val="center"/>
              <w:rPr>
                <w:rFonts w:ascii="Arial" w:hAnsi="Arial" w:cs="Arial"/>
                <w:bCs/>
                <w:sz w:val="16"/>
                <w:szCs w:val="16"/>
              </w:rPr>
            </w:pPr>
            <w:r w:rsidRPr="00CE3120">
              <w:rPr>
                <w:rFonts w:ascii="Arial" w:hAnsi="Arial" w:cs="Arial"/>
                <w:color w:val="000000"/>
                <w:sz w:val="16"/>
                <w:szCs w:val="16"/>
              </w:rPr>
              <w:t>6</w:t>
            </w:r>
          </w:p>
        </w:tc>
        <w:tc>
          <w:tcPr>
            <w:tcW w:w="852" w:type="dxa"/>
            <w:tcBorders>
              <w:left w:val="single" w:sz="4" w:space="0" w:color="000000"/>
              <w:bottom w:val="single" w:sz="4" w:space="0" w:color="000000"/>
              <w:right w:val="single" w:sz="4" w:space="0" w:color="000000"/>
            </w:tcBorders>
            <w:vAlign w:val="center"/>
          </w:tcPr>
          <w:p w14:paraId="7D7A0CC0" w14:textId="77777777" w:rsidR="008C648D" w:rsidRPr="00CE3120" w:rsidRDefault="008C648D" w:rsidP="00737AFE">
            <w:pPr>
              <w:spacing w:after="0" w:line="240" w:lineRule="auto"/>
              <w:jc w:val="center"/>
              <w:rPr>
                <w:rFonts w:ascii="Arial" w:hAnsi="Arial" w:cs="Arial"/>
                <w:bCs/>
                <w:sz w:val="16"/>
                <w:szCs w:val="16"/>
              </w:rPr>
            </w:pPr>
            <w:r w:rsidRPr="00CE3120">
              <w:rPr>
                <w:rFonts w:ascii="Arial" w:hAnsi="Arial" w:cs="Arial"/>
                <w:bCs/>
                <w:sz w:val="16"/>
                <w:szCs w:val="16"/>
              </w:rPr>
              <w:t>2</w:t>
            </w:r>
          </w:p>
        </w:tc>
        <w:tc>
          <w:tcPr>
            <w:tcW w:w="1095" w:type="dxa"/>
            <w:tcBorders>
              <w:left w:val="single" w:sz="4" w:space="0" w:color="000000"/>
              <w:bottom w:val="single" w:sz="4" w:space="0" w:color="000000"/>
              <w:right w:val="single" w:sz="12" w:space="0" w:color="000000"/>
            </w:tcBorders>
            <w:shd w:val="clear" w:color="auto" w:fill="99FF66"/>
            <w:vAlign w:val="center"/>
          </w:tcPr>
          <w:p w14:paraId="4E480BFF" w14:textId="77777777" w:rsidR="008C648D" w:rsidRPr="00CE3120" w:rsidRDefault="008C648D" w:rsidP="00737AFE">
            <w:pPr>
              <w:spacing w:after="0" w:line="240" w:lineRule="auto"/>
              <w:jc w:val="center"/>
              <w:rPr>
                <w:rFonts w:ascii="Arial" w:hAnsi="Arial" w:cs="Arial"/>
                <w:bCs/>
                <w:sz w:val="16"/>
                <w:szCs w:val="16"/>
              </w:rPr>
            </w:pPr>
            <w:r w:rsidRPr="00CE3120">
              <w:rPr>
                <w:rFonts w:ascii="Arial" w:hAnsi="Arial" w:cs="Arial"/>
                <w:color w:val="000000"/>
                <w:sz w:val="16"/>
                <w:szCs w:val="16"/>
              </w:rPr>
              <w:t>6</w:t>
            </w:r>
          </w:p>
        </w:tc>
        <w:tc>
          <w:tcPr>
            <w:tcW w:w="1456" w:type="dxa"/>
            <w:tcBorders>
              <w:bottom w:val="single" w:sz="4" w:space="0" w:color="000000"/>
              <w:right w:val="single" w:sz="12" w:space="0" w:color="000000"/>
            </w:tcBorders>
            <w:vAlign w:val="center"/>
          </w:tcPr>
          <w:p w14:paraId="3D01255B" w14:textId="77777777" w:rsidR="008C648D" w:rsidRPr="001B30B5" w:rsidRDefault="008C648D" w:rsidP="007E15A2">
            <w:pPr>
              <w:spacing w:after="0" w:line="240" w:lineRule="auto"/>
              <w:jc w:val="center"/>
              <w:rPr>
                <w:rFonts w:ascii="Arial" w:hAnsi="Arial" w:cs="Arial"/>
                <w:bCs/>
                <w:sz w:val="16"/>
                <w:szCs w:val="16"/>
              </w:rPr>
            </w:pPr>
            <w:r>
              <w:rPr>
                <w:rFonts w:ascii="Arial" w:hAnsi="Arial" w:cs="Arial"/>
                <w:bCs/>
                <w:sz w:val="16"/>
                <w:szCs w:val="16"/>
              </w:rPr>
              <w:t>37</w:t>
            </w:r>
          </w:p>
        </w:tc>
      </w:tr>
      <w:tr w:rsidR="008C648D" w:rsidRPr="00B87486" w14:paraId="6A5B4E38" w14:textId="77777777" w:rsidTr="0023001E">
        <w:trPr>
          <w:trHeight w:val="312"/>
        </w:trPr>
        <w:tc>
          <w:tcPr>
            <w:tcW w:w="1272" w:type="dxa"/>
            <w:vMerge/>
            <w:tcBorders>
              <w:left w:val="single" w:sz="12" w:space="0" w:color="000000"/>
              <w:bottom w:val="single" w:sz="12" w:space="0" w:color="000000"/>
            </w:tcBorders>
            <w:vAlign w:val="center"/>
          </w:tcPr>
          <w:p w14:paraId="3A6D8DBD" w14:textId="77777777" w:rsidR="008C648D" w:rsidRPr="005279C8" w:rsidRDefault="008C648D" w:rsidP="00C82CD7">
            <w:pPr>
              <w:spacing w:after="0"/>
              <w:rPr>
                <w:rFonts w:ascii="Arial" w:hAnsi="Arial" w:cs="Arial"/>
                <w:sz w:val="16"/>
                <w:szCs w:val="16"/>
              </w:rPr>
            </w:pPr>
          </w:p>
        </w:tc>
        <w:tc>
          <w:tcPr>
            <w:tcW w:w="2981" w:type="dxa"/>
            <w:tcBorders>
              <w:bottom w:val="single" w:sz="12" w:space="0" w:color="000000"/>
            </w:tcBorders>
            <w:vAlign w:val="center"/>
          </w:tcPr>
          <w:p w14:paraId="17E35445" w14:textId="77777777" w:rsidR="008C648D" w:rsidRPr="002F3F4B" w:rsidRDefault="008C648D" w:rsidP="00C82CD7">
            <w:pPr>
              <w:spacing w:after="0"/>
              <w:rPr>
                <w:rFonts w:ascii="Arial" w:hAnsi="Arial" w:cs="Arial"/>
                <w:sz w:val="16"/>
                <w:szCs w:val="16"/>
              </w:rPr>
            </w:pPr>
            <w:r w:rsidRPr="0001089F">
              <w:rPr>
                <w:rFonts w:ascii="Arial" w:hAnsi="Arial" w:cs="Arial"/>
                <w:sz w:val="16"/>
                <w:szCs w:val="16"/>
              </w:rPr>
              <w:t xml:space="preserve">2010-15 outputs planned to complete in the 2015-21 period </w:t>
            </w:r>
          </w:p>
        </w:tc>
        <w:tc>
          <w:tcPr>
            <w:tcW w:w="852" w:type="dxa"/>
            <w:tcBorders>
              <w:bottom w:val="single" w:sz="12" w:space="0" w:color="000000"/>
              <w:right w:val="single" w:sz="4" w:space="0" w:color="000000"/>
            </w:tcBorders>
            <w:shd w:val="clear" w:color="auto" w:fill="auto"/>
            <w:vAlign w:val="center"/>
          </w:tcPr>
          <w:p w14:paraId="07248EEC" w14:textId="77777777" w:rsidR="008C648D" w:rsidRPr="0001089F" w:rsidRDefault="008C648D" w:rsidP="00737AFE">
            <w:pPr>
              <w:spacing w:after="0" w:line="240" w:lineRule="auto"/>
              <w:jc w:val="center"/>
              <w:rPr>
                <w:rFonts w:ascii="Arial" w:hAnsi="Arial" w:cs="Arial"/>
                <w:bCs/>
                <w:sz w:val="16"/>
                <w:szCs w:val="16"/>
              </w:rPr>
            </w:pPr>
            <w:r>
              <w:rPr>
                <w:rFonts w:ascii="Arial" w:hAnsi="Arial" w:cs="Arial"/>
                <w:color w:val="000000"/>
                <w:sz w:val="16"/>
                <w:szCs w:val="16"/>
              </w:rPr>
              <w:t>1</w:t>
            </w:r>
          </w:p>
        </w:tc>
        <w:tc>
          <w:tcPr>
            <w:tcW w:w="851" w:type="dxa"/>
            <w:tcBorders>
              <w:left w:val="single" w:sz="4" w:space="0" w:color="000000"/>
              <w:bottom w:val="single" w:sz="12" w:space="0" w:color="000000"/>
              <w:right w:val="single" w:sz="4" w:space="0" w:color="000000"/>
            </w:tcBorders>
            <w:vAlign w:val="center"/>
          </w:tcPr>
          <w:p w14:paraId="208B9B86" w14:textId="77777777" w:rsidR="008C648D" w:rsidRPr="00CE3120" w:rsidRDefault="008C648D" w:rsidP="00737AFE">
            <w:pPr>
              <w:spacing w:after="0" w:line="240" w:lineRule="auto"/>
              <w:jc w:val="center"/>
              <w:rPr>
                <w:rFonts w:ascii="Arial" w:hAnsi="Arial" w:cs="Arial"/>
                <w:bCs/>
                <w:sz w:val="16"/>
                <w:szCs w:val="16"/>
              </w:rPr>
            </w:pPr>
            <w:r w:rsidRPr="00CE3120">
              <w:rPr>
                <w:rFonts w:ascii="Arial" w:hAnsi="Arial" w:cs="Arial"/>
                <w:color w:val="000000"/>
                <w:sz w:val="16"/>
                <w:szCs w:val="16"/>
              </w:rPr>
              <w:t>1</w:t>
            </w:r>
          </w:p>
        </w:tc>
        <w:tc>
          <w:tcPr>
            <w:tcW w:w="852" w:type="dxa"/>
            <w:tcBorders>
              <w:left w:val="single" w:sz="4" w:space="0" w:color="000000"/>
              <w:bottom w:val="single" w:sz="12" w:space="0" w:color="000000"/>
              <w:right w:val="single" w:sz="4" w:space="0" w:color="000000"/>
            </w:tcBorders>
            <w:vAlign w:val="center"/>
          </w:tcPr>
          <w:p w14:paraId="26DA2877" w14:textId="77777777" w:rsidR="008C648D" w:rsidRPr="00CE3120" w:rsidRDefault="008C648D" w:rsidP="00737AFE">
            <w:pPr>
              <w:spacing w:after="0" w:line="240" w:lineRule="auto"/>
              <w:jc w:val="center"/>
              <w:rPr>
                <w:rFonts w:ascii="Arial" w:hAnsi="Arial" w:cs="Arial"/>
                <w:bCs/>
                <w:sz w:val="16"/>
                <w:szCs w:val="16"/>
              </w:rPr>
            </w:pPr>
            <w:r w:rsidRPr="00CE3120">
              <w:rPr>
                <w:rFonts w:ascii="Arial" w:hAnsi="Arial" w:cs="Arial"/>
                <w:bCs/>
                <w:sz w:val="16"/>
                <w:szCs w:val="16"/>
              </w:rPr>
              <w:t>9</w:t>
            </w:r>
          </w:p>
        </w:tc>
        <w:tc>
          <w:tcPr>
            <w:tcW w:w="1095" w:type="dxa"/>
            <w:tcBorders>
              <w:left w:val="single" w:sz="4" w:space="0" w:color="000000"/>
              <w:bottom w:val="single" w:sz="12" w:space="0" w:color="000000"/>
              <w:right w:val="single" w:sz="12" w:space="0" w:color="000000"/>
            </w:tcBorders>
            <w:shd w:val="clear" w:color="auto" w:fill="FF0000"/>
            <w:vAlign w:val="center"/>
          </w:tcPr>
          <w:p w14:paraId="1A4F2D55" w14:textId="77777777" w:rsidR="008C648D" w:rsidRPr="00CE3120" w:rsidRDefault="0023001E" w:rsidP="0023001E">
            <w:pPr>
              <w:spacing w:after="0" w:line="240" w:lineRule="auto"/>
              <w:jc w:val="center"/>
              <w:rPr>
                <w:rFonts w:ascii="Arial" w:hAnsi="Arial" w:cs="Arial"/>
                <w:bCs/>
                <w:sz w:val="16"/>
                <w:szCs w:val="16"/>
              </w:rPr>
            </w:pPr>
            <w:r>
              <w:rPr>
                <w:rFonts w:ascii="Arial" w:hAnsi="Arial" w:cs="Arial"/>
                <w:sz w:val="16"/>
                <w:szCs w:val="16"/>
              </w:rPr>
              <w:t>2</w:t>
            </w:r>
            <w:r w:rsidR="008C648D">
              <w:rPr>
                <w:rFonts w:ascii="Arial" w:hAnsi="Arial" w:cs="Arial"/>
                <w:color w:val="000000"/>
                <w:sz w:val="16"/>
                <w:szCs w:val="16"/>
              </w:rPr>
              <w:t xml:space="preserve"> -</w:t>
            </w:r>
            <w:r w:rsidR="005C6410">
              <w:rPr>
                <w:rFonts w:ascii="Arial" w:hAnsi="Arial" w:cs="Arial"/>
                <w:color w:val="000000"/>
                <w:sz w:val="16"/>
                <w:szCs w:val="16"/>
              </w:rPr>
              <w:t xml:space="preserve"> </w:t>
            </w:r>
            <w:r>
              <w:rPr>
                <w:rFonts w:ascii="Arial" w:hAnsi="Arial" w:cs="Arial"/>
                <w:color w:val="000000"/>
                <w:sz w:val="16"/>
                <w:szCs w:val="16"/>
              </w:rPr>
              <w:t>7</w:t>
            </w:r>
          </w:p>
        </w:tc>
        <w:tc>
          <w:tcPr>
            <w:tcW w:w="1456" w:type="dxa"/>
            <w:tcBorders>
              <w:bottom w:val="single" w:sz="12" w:space="0" w:color="000000"/>
              <w:right w:val="single" w:sz="12" w:space="0" w:color="000000"/>
            </w:tcBorders>
            <w:vAlign w:val="center"/>
          </w:tcPr>
          <w:p w14:paraId="6A8AD005" w14:textId="77777777" w:rsidR="008C648D" w:rsidRPr="001B30B5" w:rsidRDefault="008C648D" w:rsidP="00737AFE">
            <w:pPr>
              <w:spacing w:after="0" w:line="240" w:lineRule="auto"/>
              <w:jc w:val="center"/>
              <w:rPr>
                <w:rFonts w:ascii="Arial" w:hAnsi="Arial" w:cs="Arial"/>
                <w:bCs/>
                <w:sz w:val="16"/>
                <w:szCs w:val="16"/>
              </w:rPr>
            </w:pPr>
            <w:r>
              <w:rPr>
                <w:rFonts w:ascii="Arial" w:hAnsi="Arial" w:cs="Arial"/>
                <w:bCs/>
                <w:sz w:val="16"/>
                <w:szCs w:val="16"/>
              </w:rPr>
              <w:t>16</w:t>
            </w:r>
          </w:p>
        </w:tc>
      </w:tr>
      <w:tr w:rsidR="008C648D" w:rsidRPr="00B87486" w14:paraId="4468E507" w14:textId="77777777" w:rsidTr="0023001E">
        <w:trPr>
          <w:trHeight w:val="312"/>
        </w:trPr>
        <w:tc>
          <w:tcPr>
            <w:tcW w:w="1272" w:type="dxa"/>
            <w:vMerge w:val="restart"/>
            <w:tcBorders>
              <w:top w:val="single" w:sz="12" w:space="0" w:color="000000"/>
              <w:left w:val="single" w:sz="12" w:space="0" w:color="000000"/>
              <w:bottom w:val="single" w:sz="12" w:space="0" w:color="000000"/>
            </w:tcBorders>
            <w:vAlign w:val="center"/>
          </w:tcPr>
          <w:p w14:paraId="4BD4A497" w14:textId="77777777" w:rsidR="008C648D" w:rsidRPr="005279C8" w:rsidRDefault="008C648D" w:rsidP="00C82CD7">
            <w:pPr>
              <w:spacing w:after="0"/>
              <w:rPr>
                <w:rFonts w:ascii="Arial" w:hAnsi="Arial" w:cs="Arial"/>
                <w:sz w:val="16"/>
                <w:szCs w:val="16"/>
              </w:rPr>
            </w:pPr>
            <w:r w:rsidRPr="00191E39">
              <w:rPr>
                <w:rFonts w:ascii="Arial" w:hAnsi="Arial" w:cs="Arial"/>
                <w:sz w:val="16"/>
                <w:szCs w:val="16"/>
              </w:rPr>
              <w:t>Flood risk management</w:t>
            </w:r>
          </w:p>
        </w:tc>
        <w:tc>
          <w:tcPr>
            <w:tcW w:w="2981" w:type="dxa"/>
            <w:tcBorders>
              <w:top w:val="single" w:sz="12" w:space="0" w:color="000000"/>
              <w:bottom w:val="single" w:sz="4" w:space="0" w:color="000000"/>
            </w:tcBorders>
            <w:vAlign w:val="center"/>
          </w:tcPr>
          <w:p w14:paraId="37BB246D" w14:textId="77777777" w:rsidR="008C648D" w:rsidRPr="002F3F4B" w:rsidRDefault="008C648D" w:rsidP="00C82CD7">
            <w:pPr>
              <w:spacing w:after="0"/>
              <w:rPr>
                <w:rFonts w:ascii="Arial" w:hAnsi="Arial" w:cs="Arial"/>
                <w:sz w:val="16"/>
                <w:szCs w:val="16"/>
              </w:rPr>
            </w:pPr>
            <w:r>
              <w:rPr>
                <w:rFonts w:ascii="Arial" w:hAnsi="Arial" w:cs="Arial"/>
                <w:sz w:val="16"/>
                <w:szCs w:val="16"/>
              </w:rPr>
              <w:t>Reservoirs Act: improvements to dams</w:t>
            </w:r>
          </w:p>
        </w:tc>
        <w:tc>
          <w:tcPr>
            <w:tcW w:w="2555" w:type="dxa"/>
            <w:gridSpan w:val="3"/>
            <w:vMerge w:val="restart"/>
            <w:tcBorders>
              <w:top w:val="single" w:sz="12" w:space="0" w:color="000000"/>
              <w:right w:val="single" w:sz="4" w:space="0" w:color="000000"/>
            </w:tcBorders>
            <w:shd w:val="clear" w:color="auto" w:fill="auto"/>
            <w:vAlign w:val="center"/>
          </w:tcPr>
          <w:p w14:paraId="21712ED5" w14:textId="77777777" w:rsidR="008C648D" w:rsidRPr="00362ABE" w:rsidDel="00540837" w:rsidRDefault="008C648D" w:rsidP="003E5AC6">
            <w:pPr>
              <w:spacing w:after="0" w:line="240" w:lineRule="auto"/>
              <w:jc w:val="center"/>
              <w:rPr>
                <w:rFonts w:ascii="Arial" w:hAnsi="Arial" w:cs="Arial"/>
                <w:bCs/>
                <w:sz w:val="16"/>
                <w:szCs w:val="16"/>
              </w:rPr>
            </w:pPr>
            <w:r>
              <w:rPr>
                <w:rFonts w:ascii="Arial" w:hAnsi="Arial" w:cs="Arial"/>
                <w:color w:val="000000"/>
                <w:sz w:val="16"/>
                <w:szCs w:val="16"/>
              </w:rPr>
              <w:t xml:space="preserve">No outputs are planned to </w:t>
            </w:r>
            <w:r w:rsidR="00CB256A">
              <w:rPr>
                <w:rFonts w:ascii="Arial" w:hAnsi="Arial" w:cs="Arial"/>
                <w:color w:val="000000"/>
                <w:sz w:val="16"/>
                <w:szCs w:val="16"/>
              </w:rPr>
              <w:t>achieve regulatory</w:t>
            </w:r>
            <w:r>
              <w:rPr>
                <w:rFonts w:ascii="Arial" w:hAnsi="Arial" w:cs="Arial"/>
                <w:color w:val="000000"/>
                <w:sz w:val="16"/>
                <w:szCs w:val="16"/>
              </w:rPr>
              <w:t xml:space="preserve"> acceptance in 2015/16</w:t>
            </w:r>
          </w:p>
        </w:tc>
        <w:tc>
          <w:tcPr>
            <w:tcW w:w="1095" w:type="dxa"/>
            <w:tcBorders>
              <w:top w:val="single" w:sz="12" w:space="0" w:color="000000"/>
              <w:left w:val="single" w:sz="4" w:space="0" w:color="000000"/>
              <w:right w:val="single" w:sz="12" w:space="0" w:color="000000"/>
            </w:tcBorders>
            <w:shd w:val="clear" w:color="auto" w:fill="99FF66"/>
            <w:vAlign w:val="center"/>
          </w:tcPr>
          <w:p w14:paraId="0E1E74ED" w14:textId="77777777" w:rsidR="008C648D" w:rsidRPr="00362ABE" w:rsidRDefault="008C648D" w:rsidP="005E7141">
            <w:pPr>
              <w:spacing w:after="0" w:line="240" w:lineRule="auto"/>
              <w:jc w:val="center"/>
              <w:rPr>
                <w:rFonts w:ascii="Arial" w:hAnsi="Arial" w:cs="Arial"/>
                <w:bCs/>
                <w:sz w:val="16"/>
                <w:szCs w:val="16"/>
              </w:rPr>
            </w:pPr>
            <w:r>
              <w:rPr>
                <w:rFonts w:ascii="Arial" w:hAnsi="Arial" w:cs="Arial"/>
                <w:color w:val="000000"/>
                <w:sz w:val="16"/>
                <w:szCs w:val="16"/>
              </w:rPr>
              <w:t xml:space="preserve">0 – 1 </w:t>
            </w:r>
          </w:p>
        </w:tc>
        <w:tc>
          <w:tcPr>
            <w:tcW w:w="1456" w:type="dxa"/>
            <w:tcBorders>
              <w:top w:val="single" w:sz="12" w:space="0" w:color="000000"/>
              <w:left w:val="single" w:sz="12" w:space="0" w:color="000000"/>
              <w:bottom w:val="single" w:sz="4" w:space="0" w:color="000000"/>
              <w:right w:val="single" w:sz="12" w:space="0" w:color="000000"/>
            </w:tcBorders>
            <w:vAlign w:val="center"/>
          </w:tcPr>
          <w:p w14:paraId="41786FE1" w14:textId="77777777" w:rsidR="008C648D" w:rsidRPr="001B30B5" w:rsidRDefault="008C648D" w:rsidP="00737AFE">
            <w:pPr>
              <w:spacing w:after="0" w:line="240" w:lineRule="auto"/>
              <w:jc w:val="center"/>
              <w:rPr>
                <w:rFonts w:ascii="Arial" w:hAnsi="Arial" w:cs="Arial"/>
                <w:bCs/>
                <w:sz w:val="16"/>
                <w:szCs w:val="16"/>
              </w:rPr>
            </w:pPr>
            <w:r>
              <w:rPr>
                <w:rFonts w:ascii="Arial" w:hAnsi="Arial" w:cs="Arial"/>
                <w:bCs/>
                <w:sz w:val="16"/>
                <w:szCs w:val="16"/>
              </w:rPr>
              <w:t>45</w:t>
            </w:r>
          </w:p>
        </w:tc>
      </w:tr>
      <w:tr w:rsidR="008C648D" w:rsidRPr="00B87486" w14:paraId="28E357C7" w14:textId="77777777" w:rsidTr="0023001E">
        <w:trPr>
          <w:trHeight w:val="312"/>
        </w:trPr>
        <w:tc>
          <w:tcPr>
            <w:tcW w:w="1272" w:type="dxa"/>
            <w:vMerge/>
            <w:tcBorders>
              <w:left w:val="single" w:sz="12" w:space="0" w:color="000000"/>
              <w:bottom w:val="single" w:sz="12" w:space="0" w:color="000000"/>
            </w:tcBorders>
            <w:vAlign w:val="center"/>
          </w:tcPr>
          <w:p w14:paraId="072712AA" w14:textId="77777777" w:rsidR="008C648D" w:rsidRPr="005279C8" w:rsidRDefault="008C648D" w:rsidP="00C82CD7">
            <w:pPr>
              <w:spacing w:after="0"/>
              <w:rPr>
                <w:rFonts w:ascii="Arial" w:hAnsi="Arial" w:cs="Arial"/>
                <w:sz w:val="16"/>
                <w:szCs w:val="16"/>
              </w:rPr>
            </w:pPr>
          </w:p>
        </w:tc>
        <w:tc>
          <w:tcPr>
            <w:tcW w:w="2981" w:type="dxa"/>
            <w:tcBorders>
              <w:bottom w:val="single" w:sz="12" w:space="0" w:color="000000"/>
            </w:tcBorders>
            <w:vAlign w:val="center"/>
          </w:tcPr>
          <w:p w14:paraId="0103C46D" w14:textId="77777777" w:rsidR="008C648D" w:rsidRPr="0001089F" w:rsidRDefault="008C648D">
            <w:pPr>
              <w:spacing w:after="0"/>
              <w:rPr>
                <w:rFonts w:ascii="Arial" w:hAnsi="Arial" w:cs="Arial"/>
                <w:sz w:val="16"/>
                <w:szCs w:val="16"/>
              </w:rPr>
            </w:pPr>
            <w:r>
              <w:rPr>
                <w:rFonts w:ascii="Arial" w:hAnsi="Arial" w:cs="Arial"/>
                <w:sz w:val="16"/>
                <w:szCs w:val="16"/>
              </w:rPr>
              <w:t>Flood Risk Management Act: models and integrated catchment studies</w:t>
            </w:r>
          </w:p>
        </w:tc>
        <w:tc>
          <w:tcPr>
            <w:tcW w:w="2555" w:type="dxa"/>
            <w:gridSpan w:val="3"/>
            <w:vMerge/>
            <w:tcBorders>
              <w:bottom w:val="single" w:sz="12" w:space="0" w:color="000000"/>
              <w:right w:val="single" w:sz="4" w:space="0" w:color="000000"/>
            </w:tcBorders>
            <w:shd w:val="clear" w:color="auto" w:fill="auto"/>
            <w:vAlign w:val="center"/>
          </w:tcPr>
          <w:p w14:paraId="089333B6" w14:textId="77777777" w:rsidR="008C648D" w:rsidRPr="00502EF7" w:rsidRDefault="008C648D" w:rsidP="00737AFE">
            <w:pPr>
              <w:spacing w:after="0" w:line="240" w:lineRule="auto"/>
              <w:jc w:val="center"/>
              <w:rPr>
                <w:rFonts w:ascii="Arial" w:hAnsi="Arial" w:cs="Arial"/>
                <w:bCs/>
                <w:sz w:val="16"/>
                <w:szCs w:val="16"/>
              </w:rPr>
            </w:pPr>
          </w:p>
        </w:tc>
        <w:tc>
          <w:tcPr>
            <w:tcW w:w="1095" w:type="dxa"/>
            <w:tcBorders>
              <w:left w:val="single" w:sz="4" w:space="0" w:color="000000"/>
              <w:bottom w:val="single" w:sz="12" w:space="0" w:color="000000"/>
              <w:right w:val="single" w:sz="12" w:space="0" w:color="000000"/>
            </w:tcBorders>
            <w:shd w:val="clear" w:color="auto" w:fill="99FF66"/>
            <w:vAlign w:val="center"/>
          </w:tcPr>
          <w:p w14:paraId="123383BF" w14:textId="77777777" w:rsidR="008C648D" w:rsidRPr="00502EF7" w:rsidRDefault="008C648D" w:rsidP="00737AFE">
            <w:pPr>
              <w:spacing w:after="0" w:line="240" w:lineRule="auto"/>
              <w:jc w:val="center"/>
              <w:rPr>
                <w:rFonts w:ascii="Arial" w:hAnsi="Arial" w:cs="Arial"/>
                <w:bCs/>
                <w:sz w:val="16"/>
                <w:szCs w:val="16"/>
              </w:rPr>
            </w:pPr>
            <w:r>
              <w:rPr>
                <w:rFonts w:ascii="Arial" w:hAnsi="Arial" w:cs="Arial"/>
                <w:bCs/>
                <w:sz w:val="16"/>
                <w:szCs w:val="16"/>
              </w:rPr>
              <w:t>0</w:t>
            </w:r>
          </w:p>
        </w:tc>
        <w:tc>
          <w:tcPr>
            <w:tcW w:w="1456" w:type="dxa"/>
            <w:tcBorders>
              <w:left w:val="single" w:sz="12" w:space="0" w:color="000000"/>
              <w:bottom w:val="single" w:sz="12" w:space="0" w:color="000000"/>
              <w:right w:val="single" w:sz="12" w:space="0" w:color="000000"/>
            </w:tcBorders>
            <w:vAlign w:val="center"/>
          </w:tcPr>
          <w:p w14:paraId="5D51DEF5" w14:textId="77777777" w:rsidR="008C648D" w:rsidRPr="001B30B5" w:rsidRDefault="008C648D" w:rsidP="00737AFE">
            <w:pPr>
              <w:spacing w:after="0" w:line="240" w:lineRule="auto"/>
              <w:jc w:val="center"/>
              <w:rPr>
                <w:rFonts w:ascii="Arial" w:hAnsi="Arial" w:cs="Arial"/>
                <w:bCs/>
                <w:sz w:val="16"/>
                <w:szCs w:val="16"/>
              </w:rPr>
            </w:pPr>
            <w:r>
              <w:rPr>
                <w:rFonts w:ascii="Arial" w:hAnsi="Arial" w:cs="Arial"/>
                <w:bCs/>
                <w:sz w:val="16"/>
                <w:szCs w:val="16"/>
              </w:rPr>
              <w:t>218</w:t>
            </w:r>
          </w:p>
        </w:tc>
      </w:tr>
    </w:tbl>
    <w:p w14:paraId="34AB2557" w14:textId="77777777" w:rsidR="00BF50E9" w:rsidRPr="00585148" w:rsidRDefault="00BF50E9" w:rsidP="00BF50E9">
      <w:pPr>
        <w:spacing w:after="0"/>
        <w:jc w:val="both"/>
        <w:rPr>
          <w:rFonts w:ascii="Arial" w:hAnsi="Arial" w:cs="Arial"/>
          <w:sz w:val="8"/>
          <w:szCs w:val="8"/>
        </w:rPr>
      </w:pPr>
    </w:p>
    <w:p w14:paraId="24C44F5A" w14:textId="77777777" w:rsidR="00BF50E9" w:rsidRPr="003F657A" w:rsidRDefault="00BF50E9" w:rsidP="006068A8">
      <w:pPr>
        <w:pStyle w:val="BodyText2"/>
        <w:spacing w:after="0" w:line="276" w:lineRule="auto"/>
        <w:ind w:left="0"/>
        <w:jc w:val="both"/>
        <w:rPr>
          <w:rFonts w:ascii="Arial" w:hAnsi="Arial" w:cs="Arial"/>
          <w:bCs/>
          <w:kern w:val="24"/>
          <w:sz w:val="18"/>
          <w:szCs w:val="18"/>
        </w:rPr>
      </w:pPr>
      <w:r w:rsidRPr="003F657A">
        <w:rPr>
          <w:rFonts w:ascii="Arial" w:hAnsi="Arial" w:cs="Arial"/>
          <w:bCs/>
          <w:kern w:val="24"/>
          <w:sz w:val="18"/>
          <w:szCs w:val="18"/>
        </w:rPr>
        <w:t>[Note the following programme areas are not included in the table and are subject to annual reports on delivery: Development of a national strategy on the Priority Substances Directive; Surface Water Management investigations].</w:t>
      </w:r>
    </w:p>
    <w:p w14:paraId="1A24F3E2" w14:textId="77777777" w:rsidR="00BF50E9" w:rsidRPr="00A61154" w:rsidRDefault="00BF50E9" w:rsidP="00BF50E9">
      <w:pPr>
        <w:spacing w:after="0"/>
        <w:jc w:val="both"/>
        <w:rPr>
          <w:rFonts w:ascii="Arial" w:hAnsi="Arial" w:cs="Arial"/>
          <w:sz w:val="16"/>
          <w:szCs w:val="16"/>
        </w:rPr>
      </w:pPr>
    </w:p>
    <w:p w14:paraId="16ACE3D2" w14:textId="77777777" w:rsidR="00C03AE6" w:rsidRPr="009D1496" w:rsidRDefault="00C03AE6" w:rsidP="00BF49BE">
      <w:pPr>
        <w:spacing w:after="0"/>
        <w:jc w:val="both"/>
        <w:rPr>
          <w:rFonts w:ascii="Arial" w:hAnsi="Arial" w:cs="Arial"/>
          <w:b/>
        </w:rPr>
      </w:pPr>
      <w:r w:rsidRPr="009D1496">
        <w:rPr>
          <w:rFonts w:ascii="Arial" w:hAnsi="Arial" w:cs="Arial"/>
          <w:b/>
          <w:u w:val="single"/>
        </w:rPr>
        <w:t>Programme specific explanations</w:t>
      </w:r>
      <w:r w:rsidRPr="009D1496">
        <w:rPr>
          <w:rFonts w:ascii="Arial" w:hAnsi="Arial" w:cs="Arial"/>
          <w:b/>
        </w:rPr>
        <w:t>:</w:t>
      </w:r>
    </w:p>
    <w:p w14:paraId="01ACA40B" w14:textId="77777777" w:rsidR="00C03AE6" w:rsidRPr="00A61154" w:rsidRDefault="00C03AE6" w:rsidP="00BF49BE">
      <w:pPr>
        <w:spacing w:after="0"/>
        <w:jc w:val="both"/>
        <w:rPr>
          <w:rFonts w:ascii="Arial" w:hAnsi="Arial" w:cs="Arial"/>
          <w:sz w:val="16"/>
          <w:szCs w:val="16"/>
        </w:rPr>
      </w:pPr>
    </w:p>
    <w:p w14:paraId="571DE8AD" w14:textId="77777777" w:rsidR="00C03AE6" w:rsidRPr="00BF49BE" w:rsidRDefault="00C03AE6" w:rsidP="00BF49BE">
      <w:pPr>
        <w:spacing w:after="0"/>
        <w:jc w:val="both"/>
        <w:rPr>
          <w:rFonts w:ascii="Arial" w:hAnsi="Arial" w:cs="Arial"/>
          <w:b/>
        </w:rPr>
      </w:pPr>
      <w:r w:rsidRPr="00BF49BE">
        <w:rPr>
          <w:rFonts w:ascii="Arial" w:hAnsi="Arial" w:cs="Arial"/>
          <w:b/>
        </w:rPr>
        <w:t>Number of improvements required to meet UWWTD - Glasgow completion</w:t>
      </w:r>
    </w:p>
    <w:p w14:paraId="317414E9" w14:textId="7AC8A267" w:rsidR="00B95327" w:rsidRDefault="002A4732" w:rsidP="00D9275F">
      <w:pPr>
        <w:spacing w:after="0"/>
        <w:jc w:val="both"/>
        <w:rPr>
          <w:rFonts w:ascii="Arial" w:hAnsi="Arial" w:cs="Arial"/>
        </w:rPr>
      </w:pPr>
      <w:r>
        <w:rPr>
          <w:rFonts w:ascii="Arial" w:hAnsi="Arial" w:cs="Arial"/>
        </w:rPr>
        <w:t xml:space="preserve">This programme is significantly behind the Delivery Plan baseline across all milestones.  </w:t>
      </w:r>
      <w:r w:rsidR="00D9275F" w:rsidRPr="001F7C60">
        <w:rPr>
          <w:rFonts w:ascii="Arial" w:hAnsi="Arial" w:cs="Arial"/>
        </w:rPr>
        <w:t xml:space="preserve">Scottish Water </w:t>
      </w:r>
      <w:r>
        <w:rPr>
          <w:rFonts w:ascii="Arial" w:hAnsi="Arial" w:cs="Arial"/>
        </w:rPr>
        <w:t xml:space="preserve">originally </w:t>
      </w:r>
      <w:r w:rsidR="00D9275F" w:rsidRPr="001F7C60">
        <w:rPr>
          <w:rFonts w:ascii="Arial" w:hAnsi="Arial" w:cs="Arial"/>
        </w:rPr>
        <w:t xml:space="preserve">planned to deliver 36 outputs in Glasgow, initiated in the 2010-15 period, for completion during 2015-16 and forecasts that regulatory sign off will be achieved at between </w:t>
      </w:r>
      <w:r w:rsidR="004D0DEB" w:rsidRPr="001F7C60">
        <w:rPr>
          <w:rFonts w:ascii="Arial" w:hAnsi="Arial" w:cs="Arial"/>
        </w:rPr>
        <w:t>2</w:t>
      </w:r>
      <w:r w:rsidR="00AF6B53">
        <w:rPr>
          <w:rFonts w:ascii="Arial" w:hAnsi="Arial" w:cs="Arial"/>
        </w:rPr>
        <w:t>1 to 24</w:t>
      </w:r>
      <w:r w:rsidR="004D0DEB" w:rsidRPr="001F7C60">
        <w:rPr>
          <w:rFonts w:ascii="Arial" w:hAnsi="Arial" w:cs="Arial"/>
        </w:rPr>
        <w:t xml:space="preserve"> </w:t>
      </w:r>
      <w:r w:rsidR="00D9275F" w:rsidRPr="001F7C60">
        <w:rPr>
          <w:rFonts w:ascii="Arial" w:hAnsi="Arial" w:cs="Arial"/>
        </w:rPr>
        <w:t>outputs</w:t>
      </w:r>
      <w:r w:rsidR="00D9275F">
        <w:rPr>
          <w:rFonts w:ascii="Arial" w:hAnsi="Arial" w:cs="Arial"/>
        </w:rPr>
        <w:t xml:space="preserve"> by March 2016.  </w:t>
      </w:r>
      <w:r w:rsidR="00877D5B">
        <w:rPr>
          <w:rFonts w:ascii="Arial" w:hAnsi="Arial" w:cs="Arial"/>
        </w:rPr>
        <w:t>This is fewer than the 25</w:t>
      </w:r>
      <w:r w:rsidR="00054F55">
        <w:rPr>
          <w:rFonts w:ascii="Arial" w:hAnsi="Arial" w:cs="Arial"/>
        </w:rPr>
        <w:t xml:space="preserve"> to </w:t>
      </w:r>
      <w:r w:rsidR="00B95327">
        <w:rPr>
          <w:rFonts w:ascii="Arial" w:hAnsi="Arial" w:cs="Arial"/>
        </w:rPr>
        <w:t xml:space="preserve">29 outputs forecast at Quarter 2 </w:t>
      </w:r>
      <w:r w:rsidR="004B5BBF">
        <w:rPr>
          <w:rFonts w:ascii="Arial" w:hAnsi="Arial" w:cs="Arial"/>
        </w:rPr>
        <w:t>because of uncharted services and unforeseen ground conditions associated with the Govan Road Schemes.</w:t>
      </w:r>
    </w:p>
    <w:p w14:paraId="4D52F3E1" w14:textId="77777777" w:rsidR="00373623" w:rsidRPr="00440FF5" w:rsidRDefault="00373623" w:rsidP="00373623">
      <w:pPr>
        <w:spacing w:after="0"/>
        <w:jc w:val="both"/>
        <w:rPr>
          <w:rFonts w:ascii="Arial" w:hAnsi="Arial" w:cs="Arial"/>
        </w:rPr>
      </w:pPr>
    </w:p>
    <w:p w14:paraId="0262D24A" w14:textId="77777777" w:rsidR="00C03AE6" w:rsidRDefault="00C03AE6" w:rsidP="005F239D">
      <w:pPr>
        <w:spacing w:after="0" w:line="240" w:lineRule="auto"/>
        <w:rPr>
          <w:rFonts w:ascii="Arial" w:hAnsi="Arial" w:cs="Arial"/>
        </w:rPr>
      </w:pPr>
      <w:r w:rsidRPr="00BF49BE">
        <w:rPr>
          <w:rFonts w:ascii="Arial" w:hAnsi="Arial" w:cs="Arial"/>
          <w:b/>
        </w:rPr>
        <w:t>Number of environmental studies to inform future periods</w:t>
      </w:r>
    </w:p>
    <w:p w14:paraId="242A024E" w14:textId="18B0EEBC" w:rsidR="00D80506" w:rsidRDefault="00280F81" w:rsidP="00BF49BE">
      <w:pPr>
        <w:spacing w:after="0"/>
        <w:jc w:val="both"/>
        <w:rPr>
          <w:rFonts w:ascii="Arial" w:hAnsi="Arial" w:cs="Arial"/>
        </w:rPr>
      </w:pPr>
      <w:r>
        <w:rPr>
          <w:rFonts w:ascii="Arial" w:hAnsi="Arial" w:cs="Arial"/>
        </w:rPr>
        <w:t xml:space="preserve">Scottish Water has prioritised </w:t>
      </w:r>
      <w:r w:rsidR="0097235E">
        <w:rPr>
          <w:rFonts w:ascii="Arial" w:hAnsi="Arial" w:cs="Arial"/>
        </w:rPr>
        <w:t xml:space="preserve">studies </w:t>
      </w:r>
      <w:r>
        <w:rPr>
          <w:rFonts w:ascii="Arial" w:hAnsi="Arial" w:cs="Arial"/>
        </w:rPr>
        <w:t>with a focus on flooding projects to deliver customer benefits</w:t>
      </w:r>
      <w:r w:rsidR="00347DDD">
        <w:rPr>
          <w:rFonts w:ascii="Arial" w:hAnsi="Arial" w:cs="Arial"/>
        </w:rPr>
        <w:t>, some of which will also inform environmental studies,</w:t>
      </w:r>
      <w:r w:rsidR="0097235E">
        <w:rPr>
          <w:rFonts w:ascii="Arial" w:hAnsi="Arial" w:cs="Arial"/>
        </w:rPr>
        <w:t xml:space="preserve"> and to inform </w:t>
      </w:r>
      <w:r w:rsidR="00F023F1">
        <w:rPr>
          <w:rFonts w:ascii="Arial" w:hAnsi="Arial" w:cs="Arial"/>
        </w:rPr>
        <w:t>as far as possible the 2021</w:t>
      </w:r>
      <w:r w:rsidR="0097235E">
        <w:rPr>
          <w:rFonts w:ascii="Arial" w:hAnsi="Arial" w:cs="Arial"/>
        </w:rPr>
        <w:t xml:space="preserve">–27 </w:t>
      </w:r>
      <w:r w:rsidR="00555C77">
        <w:rPr>
          <w:rFonts w:ascii="Arial" w:hAnsi="Arial" w:cs="Arial"/>
        </w:rPr>
        <w:t>planning period</w:t>
      </w:r>
      <w:r w:rsidR="00B4781C">
        <w:rPr>
          <w:rFonts w:ascii="Arial" w:hAnsi="Arial" w:cs="Arial"/>
        </w:rPr>
        <w:t>.</w:t>
      </w:r>
      <w:r w:rsidR="00D80506">
        <w:rPr>
          <w:rFonts w:ascii="Arial" w:hAnsi="Arial" w:cs="Arial"/>
        </w:rPr>
        <w:t xml:space="preserve"> </w:t>
      </w:r>
    </w:p>
    <w:p w14:paraId="7AA71E43" w14:textId="77777777" w:rsidR="00CF0EFC" w:rsidRDefault="00CF0EFC" w:rsidP="00BF49BE">
      <w:pPr>
        <w:spacing w:after="0"/>
        <w:jc w:val="both"/>
        <w:rPr>
          <w:rFonts w:ascii="Arial" w:hAnsi="Arial" w:cs="Arial"/>
          <w:b/>
        </w:rPr>
      </w:pPr>
    </w:p>
    <w:p w14:paraId="7840DC75" w14:textId="77777777" w:rsidR="00C03AE6" w:rsidRPr="00BF49BE" w:rsidRDefault="00C03AE6" w:rsidP="00BF49BE">
      <w:pPr>
        <w:spacing w:after="0"/>
        <w:jc w:val="both"/>
        <w:rPr>
          <w:rFonts w:ascii="Arial" w:hAnsi="Arial" w:cs="Arial"/>
          <w:b/>
        </w:rPr>
      </w:pPr>
      <w:r w:rsidRPr="00BF49BE">
        <w:rPr>
          <w:rFonts w:ascii="Arial" w:hAnsi="Arial" w:cs="Arial"/>
          <w:b/>
        </w:rPr>
        <w:t>2010-15 outputs planned to complete in the 2015-21 period</w:t>
      </w:r>
    </w:p>
    <w:p w14:paraId="31EE5AC1" w14:textId="6C7CC23E" w:rsidR="00FB459D" w:rsidRDefault="00B014B2" w:rsidP="00203FBF">
      <w:pPr>
        <w:spacing w:after="0"/>
        <w:jc w:val="both"/>
        <w:rPr>
          <w:rFonts w:ascii="Arial" w:hAnsi="Arial" w:cs="Arial"/>
        </w:rPr>
      </w:pPr>
      <w:r w:rsidRPr="00585148">
        <w:rPr>
          <w:rFonts w:ascii="Arial" w:hAnsi="Arial" w:cs="Arial"/>
        </w:rPr>
        <w:t xml:space="preserve">Scottish Water forecasts </w:t>
      </w:r>
      <w:r w:rsidR="00080278">
        <w:rPr>
          <w:rFonts w:ascii="Arial" w:hAnsi="Arial" w:cs="Arial"/>
        </w:rPr>
        <w:t>between</w:t>
      </w:r>
      <w:r w:rsidR="00C77B87">
        <w:rPr>
          <w:rFonts w:ascii="Arial" w:hAnsi="Arial" w:cs="Arial"/>
        </w:rPr>
        <w:t xml:space="preserve"> </w:t>
      </w:r>
      <w:r w:rsidR="00BB3898">
        <w:rPr>
          <w:rFonts w:ascii="Arial" w:hAnsi="Arial" w:cs="Arial"/>
        </w:rPr>
        <w:t>2</w:t>
      </w:r>
      <w:r w:rsidR="00971D39">
        <w:rPr>
          <w:rFonts w:ascii="Arial" w:hAnsi="Arial" w:cs="Arial"/>
        </w:rPr>
        <w:t xml:space="preserve"> to </w:t>
      </w:r>
      <w:r w:rsidR="00BB3898">
        <w:rPr>
          <w:rFonts w:ascii="Arial" w:hAnsi="Arial" w:cs="Arial"/>
        </w:rPr>
        <w:t>7</w:t>
      </w:r>
      <w:r w:rsidR="00BE7D61">
        <w:rPr>
          <w:rFonts w:ascii="Arial" w:hAnsi="Arial" w:cs="Arial"/>
        </w:rPr>
        <w:t xml:space="preserve"> </w:t>
      </w:r>
      <w:r w:rsidR="00080278">
        <w:rPr>
          <w:rFonts w:ascii="Arial" w:hAnsi="Arial" w:cs="Arial"/>
        </w:rPr>
        <w:t xml:space="preserve">outputs </w:t>
      </w:r>
      <w:r w:rsidRPr="00585148">
        <w:rPr>
          <w:rFonts w:ascii="Arial" w:hAnsi="Arial" w:cs="Arial"/>
        </w:rPr>
        <w:t xml:space="preserve">to be delivered </w:t>
      </w:r>
      <w:r w:rsidR="00203FBF" w:rsidRPr="00585148">
        <w:rPr>
          <w:rFonts w:ascii="Arial" w:hAnsi="Arial" w:cs="Arial"/>
        </w:rPr>
        <w:t xml:space="preserve">by </w:t>
      </w:r>
      <w:r w:rsidRPr="00585148">
        <w:rPr>
          <w:rFonts w:ascii="Arial" w:hAnsi="Arial" w:cs="Arial"/>
        </w:rPr>
        <w:t>March 2016</w:t>
      </w:r>
      <w:r w:rsidR="00521935">
        <w:rPr>
          <w:rFonts w:ascii="Arial" w:hAnsi="Arial" w:cs="Arial"/>
        </w:rPr>
        <w:t xml:space="preserve">, </w:t>
      </w:r>
      <w:r w:rsidR="00080278">
        <w:rPr>
          <w:rFonts w:ascii="Arial" w:hAnsi="Arial" w:cs="Arial"/>
        </w:rPr>
        <w:t xml:space="preserve">which is </w:t>
      </w:r>
      <w:r w:rsidR="00232797">
        <w:rPr>
          <w:rFonts w:ascii="Arial" w:hAnsi="Arial" w:cs="Arial"/>
        </w:rPr>
        <w:t xml:space="preserve">2 </w:t>
      </w:r>
      <w:r w:rsidR="00080278">
        <w:rPr>
          <w:rFonts w:ascii="Arial" w:hAnsi="Arial" w:cs="Arial"/>
        </w:rPr>
        <w:t xml:space="preserve">to </w:t>
      </w:r>
      <w:r w:rsidR="00232797">
        <w:rPr>
          <w:rFonts w:ascii="Arial" w:hAnsi="Arial" w:cs="Arial"/>
        </w:rPr>
        <w:t xml:space="preserve">7 </w:t>
      </w:r>
      <w:r w:rsidR="00080278">
        <w:rPr>
          <w:rFonts w:ascii="Arial" w:hAnsi="Arial" w:cs="Arial"/>
        </w:rPr>
        <w:t>outputs fewer than originally planned</w:t>
      </w:r>
      <w:r w:rsidR="008B1070">
        <w:rPr>
          <w:rFonts w:ascii="Arial" w:hAnsi="Arial" w:cs="Arial"/>
        </w:rPr>
        <w:t xml:space="preserve"> due to unforeseen weather conditions for monitoring, limited specialist modelling resources and land negotiation issues.</w:t>
      </w:r>
      <w:r w:rsidR="00080278">
        <w:rPr>
          <w:rFonts w:ascii="Arial" w:hAnsi="Arial" w:cs="Arial"/>
        </w:rPr>
        <w:t xml:space="preserve"> </w:t>
      </w:r>
      <w:r w:rsidR="00054F55">
        <w:rPr>
          <w:rFonts w:ascii="Arial" w:hAnsi="Arial" w:cs="Arial"/>
        </w:rPr>
        <w:t xml:space="preserve"> </w:t>
      </w:r>
      <w:r w:rsidR="00FB459D">
        <w:rPr>
          <w:rFonts w:ascii="Arial" w:hAnsi="Arial" w:cs="Arial"/>
        </w:rPr>
        <w:t>The following 5 outputs are complete and are being progressed through the regulatory acceptance process:</w:t>
      </w:r>
    </w:p>
    <w:p w14:paraId="6B89ACD9" w14:textId="77777777" w:rsidR="00347DDD" w:rsidRDefault="00347DDD" w:rsidP="00203FBF">
      <w:pPr>
        <w:spacing w:after="0"/>
        <w:jc w:val="both"/>
        <w:rPr>
          <w:rFonts w:ascii="Arial" w:hAnsi="Arial" w:cs="Arial"/>
        </w:rPr>
      </w:pPr>
    </w:p>
    <w:p w14:paraId="1BB901DC" w14:textId="77777777" w:rsidR="00347DDD" w:rsidRDefault="00347DDD" w:rsidP="00203FBF">
      <w:pPr>
        <w:spacing w:after="0"/>
        <w:jc w:val="both"/>
        <w:rPr>
          <w:rFonts w:ascii="Arial" w:hAnsi="Arial" w:cs="Arial"/>
        </w:rPr>
      </w:pPr>
    </w:p>
    <w:p w14:paraId="796FE6F3" w14:textId="29742CDF" w:rsidR="00FB459D" w:rsidRDefault="00FB459D" w:rsidP="00FD1FF9">
      <w:pPr>
        <w:pStyle w:val="ListParagraph"/>
        <w:numPr>
          <w:ilvl w:val="0"/>
          <w:numId w:val="32"/>
        </w:numPr>
        <w:spacing w:after="0"/>
        <w:jc w:val="both"/>
        <w:rPr>
          <w:rFonts w:ascii="Arial" w:hAnsi="Arial" w:cs="Arial"/>
        </w:rPr>
      </w:pPr>
      <w:r>
        <w:rPr>
          <w:rFonts w:ascii="Arial" w:hAnsi="Arial" w:cs="Arial"/>
        </w:rPr>
        <w:lastRenderedPageBreak/>
        <w:t>Kirkcaldy bathing water study;</w:t>
      </w:r>
    </w:p>
    <w:p w14:paraId="54FC01C5" w14:textId="68EA3A08" w:rsidR="00FB459D" w:rsidRDefault="00FB459D" w:rsidP="00FD1FF9">
      <w:pPr>
        <w:pStyle w:val="ListParagraph"/>
        <w:numPr>
          <w:ilvl w:val="0"/>
          <w:numId w:val="32"/>
        </w:numPr>
        <w:spacing w:after="0"/>
        <w:jc w:val="both"/>
        <w:rPr>
          <w:rFonts w:ascii="Arial" w:hAnsi="Arial" w:cs="Arial"/>
        </w:rPr>
      </w:pPr>
      <w:r>
        <w:rPr>
          <w:rFonts w:ascii="Arial" w:hAnsi="Arial" w:cs="Arial"/>
        </w:rPr>
        <w:t xml:space="preserve">Abstraction control at </w:t>
      </w:r>
      <w:proofErr w:type="spellStart"/>
      <w:r w:rsidRPr="00BB3898">
        <w:rPr>
          <w:rFonts w:ascii="Arial" w:hAnsi="Arial" w:cs="Arial"/>
        </w:rPr>
        <w:t>Tighnab</w:t>
      </w:r>
      <w:r>
        <w:rPr>
          <w:rFonts w:ascii="Arial" w:hAnsi="Arial" w:cs="Arial"/>
        </w:rPr>
        <w:t>r</w:t>
      </w:r>
      <w:r w:rsidRPr="00BB3898">
        <w:rPr>
          <w:rFonts w:ascii="Arial" w:hAnsi="Arial" w:cs="Arial"/>
        </w:rPr>
        <w:t>u</w:t>
      </w:r>
      <w:r>
        <w:rPr>
          <w:rFonts w:ascii="Arial" w:hAnsi="Arial" w:cs="Arial"/>
        </w:rPr>
        <w:t>aich</w:t>
      </w:r>
      <w:proofErr w:type="spellEnd"/>
      <w:r>
        <w:rPr>
          <w:rFonts w:ascii="Arial" w:hAnsi="Arial" w:cs="Arial"/>
        </w:rPr>
        <w:t>;</w:t>
      </w:r>
    </w:p>
    <w:p w14:paraId="62DCC864" w14:textId="38156AC9" w:rsidR="00FB459D" w:rsidRPr="00BB3898" w:rsidRDefault="00FB459D" w:rsidP="00FD1FF9">
      <w:pPr>
        <w:pStyle w:val="ListParagraph"/>
        <w:numPr>
          <w:ilvl w:val="0"/>
          <w:numId w:val="32"/>
        </w:numPr>
        <w:spacing w:after="0"/>
        <w:jc w:val="both"/>
        <w:rPr>
          <w:rFonts w:ascii="Arial" w:hAnsi="Arial" w:cs="Arial"/>
        </w:rPr>
      </w:pPr>
      <w:r w:rsidRPr="00BB3898">
        <w:rPr>
          <w:rFonts w:ascii="Arial" w:hAnsi="Arial" w:cs="Arial"/>
        </w:rPr>
        <w:t>Loch Eck water treat</w:t>
      </w:r>
      <w:r>
        <w:rPr>
          <w:rFonts w:ascii="Arial" w:hAnsi="Arial" w:cs="Arial"/>
        </w:rPr>
        <w:t>ment works abstraction controls;</w:t>
      </w:r>
    </w:p>
    <w:p w14:paraId="4B009EC3" w14:textId="5E46FC1C" w:rsidR="00FB459D" w:rsidRDefault="00FB459D" w:rsidP="00FD1FF9">
      <w:pPr>
        <w:pStyle w:val="ListParagraph"/>
        <w:numPr>
          <w:ilvl w:val="0"/>
          <w:numId w:val="32"/>
        </w:numPr>
        <w:spacing w:after="0"/>
        <w:jc w:val="both"/>
        <w:rPr>
          <w:rFonts w:ascii="Arial" w:hAnsi="Arial" w:cs="Arial"/>
        </w:rPr>
      </w:pPr>
      <w:r w:rsidRPr="00BB3898">
        <w:rPr>
          <w:rFonts w:ascii="Arial" w:hAnsi="Arial" w:cs="Arial"/>
        </w:rPr>
        <w:t xml:space="preserve">Turriff </w:t>
      </w:r>
      <w:r>
        <w:rPr>
          <w:rFonts w:ascii="Arial" w:hAnsi="Arial" w:cs="Arial"/>
        </w:rPr>
        <w:t>waste water treatment works; and</w:t>
      </w:r>
    </w:p>
    <w:p w14:paraId="45C6DF43" w14:textId="0934AE67" w:rsidR="00FB459D" w:rsidRPr="00FB459D" w:rsidRDefault="00FB459D" w:rsidP="00FD1FF9">
      <w:pPr>
        <w:pStyle w:val="ListParagraph"/>
        <w:numPr>
          <w:ilvl w:val="0"/>
          <w:numId w:val="32"/>
        </w:numPr>
        <w:spacing w:after="0"/>
        <w:jc w:val="both"/>
        <w:rPr>
          <w:rFonts w:ascii="Arial" w:hAnsi="Arial" w:cs="Arial"/>
        </w:rPr>
      </w:pPr>
      <w:r w:rsidRPr="00FB459D">
        <w:rPr>
          <w:rFonts w:ascii="Arial" w:hAnsi="Arial" w:cs="Arial"/>
        </w:rPr>
        <w:t xml:space="preserve">Cromwell Road </w:t>
      </w:r>
      <w:r w:rsidR="00347DDD">
        <w:rPr>
          <w:rFonts w:ascii="Arial" w:hAnsi="Arial" w:cs="Arial"/>
        </w:rPr>
        <w:t>combined sewer overflow</w:t>
      </w:r>
      <w:r w:rsidR="00347DDD" w:rsidRPr="00FB459D">
        <w:rPr>
          <w:rFonts w:ascii="Arial" w:hAnsi="Arial" w:cs="Arial"/>
        </w:rPr>
        <w:t xml:space="preserve"> </w:t>
      </w:r>
    </w:p>
    <w:p w14:paraId="6986CEEE" w14:textId="77777777" w:rsidR="00FB459D" w:rsidRPr="00FD1FF9" w:rsidRDefault="00FB459D" w:rsidP="00203FBF">
      <w:pPr>
        <w:spacing w:after="0"/>
        <w:jc w:val="both"/>
        <w:rPr>
          <w:rFonts w:ascii="Arial" w:hAnsi="Arial" w:cs="Arial"/>
          <w:sz w:val="16"/>
          <w:szCs w:val="16"/>
        </w:rPr>
      </w:pPr>
    </w:p>
    <w:p w14:paraId="6B5678E6" w14:textId="21EABB4F" w:rsidR="00080278" w:rsidRDefault="00FB459D" w:rsidP="00203FBF">
      <w:pPr>
        <w:spacing w:after="0"/>
        <w:jc w:val="both"/>
        <w:rPr>
          <w:rFonts w:ascii="Arial" w:hAnsi="Arial" w:cs="Arial"/>
        </w:rPr>
      </w:pPr>
      <w:r>
        <w:rPr>
          <w:rFonts w:ascii="Arial" w:hAnsi="Arial" w:cs="Arial"/>
        </w:rPr>
        <w:t xml:space="preserve">The following 2 outputs </w:t>
      </w:r>
      <w:r w:rsidR="003F7ABB">
        <w:rPr>
          <w:rFonts w:ascii="Arial" w:hAnsi="Arial" w:cs="Arial"/>
        </w:rPr>
        <w:t>have been delayed until 2016/17</w:t>
      </w:r>
      <w:r w:rsidR="00080278">
        <w:rPr>
          <w:rFonts w:ascii="Arial" w:hAnsi="Arial" w:cs="Arial"/>
        </w:rPr>
        <w:t>:</w:t>
      </w:r>
    </w:p>
    <w:p w14:paraId="6F690E42" w14:textId="77777777" w:rsidR="00576C52" w:rsidRPr="00FD1FF9" w:rsidRDefault="00576C52" w:rsidP="00203FBF">
      <w:pPr>
        <w:spacing w:after="0"/>
        <w:jc w:val="both"/>
        <w:rPr>
          <w:rFonts w:ascii="Arial" w:hAnsi="Arial" w:cs="Arial"/>
          <w:sz w:val="16"/>
          <w:szCs w:val="16"/>
        </w:rPr>
      </w:pPr>
    </w:p>
    <w:p w14:paraId="2C54D9D0" w14:textId="2C6C9D29" w:rsidR="008F7840" w:rsidRPr="000C129D" w:rsidRDefault="008B5B9D" w:rsidP="00FD1FF9">
      <w:pPr>
        <w:pStyle w:val="ListParagraph"/>
        <w:numPr>
          <w:ilvl w:val="0"/>
          <w:numId w:val="32"/>
        </w:numPr>
        <w:spacing w:after="0"/>
        <w:jc w:val="both"/>
        <w:rPr>
          <w:rFonts w:ascii="Arial" w:hAnsi="Arial" w:cs="Arial"/>
        </w:rPr>
      </w:pPr>
      <w:r>
        <w:rPr>
          <w:rFonts w:ascii="Arial" w:hAnsi="Arial" w:cs="Arial"/>
        </w:rPr>
        <w:t xml:space="preserve">The </w:t>
      </w:r>
      <w:r w:rsidR="006D4D8E">
        <w:rPr>
          <w:rFonts w:ascii="Arial" w:hAnsi="Arial" w:cs="Arial"/>
        </w:rPr>
        <w:t>b</w:t>
      </w:r>
      <w:r>
        <w:rPr>
          <w:rFonts w:ascii="Arial" w:hAnsi="Arial" w:cs="Arial"/>
        </w:rPr>
        <w:t xml:space="preserve">athing </w:t>
      </w:r>
      <w:r w:rsidR="006D4D8E">
        <w:rPr>
          <w:rFonts w:ascii="Arial" w:hAnsi="Arial" w:cs="Arial"/>
        </w:rPr>
        <w:t>w</w:t>
      </w:r>
      <w:r>
        <w:rPr>
          <w:rFonts w:ascii="Arial" w:hAnsi="Arial" w:cs="Arial"/>
        </w:rPr>
        <w:t xml:space="preserve">ater </w:t>
      </w:r>
      <w:r w:rsidR="006D4D8E">
        <w:rPr>
          <w:rFonts w:ascii="Arial" w:hAnsi="Arial" w:cs="Arial"/>
        </w:rPr>
        <w:t>s</w:t>
      </w:r>
      <w:r>
        <w:rPr>
          <w:rFonts w:ascii="Arial" w:hAnsi="Arial" w:cs="Arial"/>
        </w:rPr>
        <w:t xml:space="preserve">tudy at </w:t>
      </w:r>
      <w:r w:rsidR="00203FBF" w:rsidRPr="000C129D">
        <w:rPr>
          <w:rFonts w:ascii="Arial" w:hAnsi="Arial" w:cs="Arial"/>
        </w:rPr>
        <w:t xml:space="preserve">Fisherrow Sands </w:t>
      </w:r>
      <w:r w:rsidR="00080278" w:rsidRPr="000C129D">
        <w:rPr>
          <w:rFonts w:ascii="Arial" w:hAnsi="Arial" w:cs="Arial"/>
        </w:rPr>
        <w:t xml:space="preserve">has been delayed until 2016/17 as it </w:t>
      </w:r>
      <w:r w:rsidR="00203FBF" w:rsidRPr="000C129D">
        <w:rPr>
          <w:rFonts w:ascii="Arial" w:hAnsi="Arial" w:cs="Arial"/>
        </w:rPr>
        <w:t>is dependent on the Edinburgh I</w:t>
      </w:r>
      <w:r w:rsidR="004C5FCA" w:rsidRPr="000C129D">
        <w:rPr>
          <w:rFonts w:ascii="Arial" w:hAnsi="Arial" w:cs="Arial"/>
        </w:rPr>
        <w:t xml:space="preserve">ntegrated Catchment Study </w:t>
      </w:r>
      <w:r w:rsidR="000C129D">
        <w:rPr>
          <w:rFonts w:ascii="Arial" w:hAnsi="Arial" w:cs="Arial"/>
        </w:rPr>
        <w:t xml:space="preserve">which is </w:t>
      </w:r>
      <w:r w:rsidR="008F7840" w:rsidRPr="000C129D">
        <w:rPr>
          <w:rFonts w:ascii="Arial" w:hAnsi="Arial" w:cs="Arial"/>
        </w:rPr>
        <w:t xml:space="preserve">forecast to be delivered </w:t>
      </w:r>
      <w:r w:rsidR="000C129D" w:rsidRPr="000C129D">
        <w:rPr>
          <w:rFonts w:ascii="Arial" w:hAnsi="Arial" w:cs="Arial"/>
        </w:rPr>
        <w:t>in 2016/17</w:t>
      </w:r>
      <w:r w:rsidR="004E12EB">
        <w:rPr>
          <w:rFonts w:ascii="Arial" w:hAnsi="Arial" w:cs="Arial"/>
        </w:rPr>
        <w:t>;</w:t>
      </w:r>
      <w:r w:rsidR="00FB3674">
        <w:rPr>
          <w:rFonts w:ascii="Arial" w:hAnsi="Arial" w:cs="Arial"/>
        </w:rPr>
        <w:t xml:space="preserve"> and</w:t>
      </w:r>
    </w:p>
    <w:p w14:paraId="4E34C053" w14:textId="45134BDB" w:rsidR="00D80506" w:rsidRPr="008F7840" w:rsidRDefault="00D80506" w:rsidP="00FD1FF9">
      <w:pPr>
        <w:pStyle w:val="ListParagraph"/>
        <w:numPr>
          <w:ilvl w:val="0"/>
          <w:numId w:val="32"/>
        </w:numPr>
        <w:spacing w:after="0"/>
        <w:jc w:val="both"/>
        <w:rPr>
          <w:rFonts w:ascii="Arial" w:hAnsi="Arial" w:cs="Arial"/>
        </w:rPr>
      </w:pPr>
      <w:r w:rsidRPr="008F7840">
        <w:rPr>
          <w:rFonts w:ascii="Arial" w:hAnsi="Arial" w:cs="Arial"/>
        </w:rPr>
        <w:t xml:space="preserve">The Rivers Ayr and Doon Strategic Study is delayed until 2016/17 </w:t>
      </w:r>
      <w:r w:rsidR="00576C52" w:rsidRPr="008F7840">
        <w:rPr>
          <w:rFonts w:ascii="Arial" w:hAnsi="Arial" w:cs="Arial"/>
        </w:rPr>
        <w:t xml:space="preserve">due to </w:t>
      </w:r>
      <w:r w:rsidR="008F7840">
        <w:rPr>
          <w:rFonts w:ascii="Arial" w:hAnsi="Arial" w:cs="Arial"/>
        </w:rPr>
        <w:t xml:space="preserve">a number of factors including the </w:t>
      </w:r>
      <w:r w:rsidR="00576C52" w:rsidRPr="008F7840">
        <w:rPr>
          <w:rFonts w:ascii="Arial" w:hAnsi="Arial" w:cs="Arial"/>
        </w:rPr>
        <w:t xml:space="preserve">availability </w:t>
      </w:r>
      <w:r w:rsidRPr="008F7840">
        <w:rPr>
          <w:rFonts w:ascii="Arial" w:hAnsi="Arial" w:cs="Arial"/>
        </w:rPr>
        <w:t xml:space="preserve">of specialist marine modelling resources and delays to flow surveys as a result of unfavourable weather conditions. </w:t>
      </w:r>
      <w:r w:rsidR="008F7840">
        <w:rPr>
          <w:rFonts w:ascii="Arial" w:hAnsi="Arial" w:cs="Arial"/>
        </w:rPr>
        <w:t xml:space="preserve"> </w:t>
      </w:r>
      <w:r w:rsidRPr="008F7840">
        <w:rPr>
          <w:rFonts w:ascii="Arial" w:hAnsi="Arial" w:cs="Arial"/>
        </w:rPr>
        <w:t>Model verification and bathing water model validation can be complex with multiple modelling runs required to resolve these</w:t>
      </w:r>
      <w:r w:rsidR="00E81D5A">
        <w:rPr>
          <w:rFonts w:ascii="Arial" w:hAnsi="Arial" w:cs="Arial"/>
        </w:rPr>
        <w:t>.</w:t>
      </w:r>
    </w:p>
    <w:p w14:paraId="7BBDED8E" w14:textId="77777777" w:rsidR="00FE3A80" w:rsidRDefault="00FE3A80">
      <w:pPr>
        <w:spacing w:after="0" w:line="240" w:lineRule="auto"/>
        <w:rPr>
          <w:rFonts w:ascii="Arial" w:hAnsi="Arial" w:cs="Arial"/>
          <w:b/>
        </w:rPr>
      </w:pPr>
    </w:p>
    <w:p w14:paraId="404F47EA" w14:textId="77777777" w:rsidR="00BF50E9" w:rsidRDefault="00EA35FC" w:rsidP="00A61154">
      <w:pPr>
        <w:spacing w:after="0"/>
        <w:jc w:val="both"/>
        <w:rPr>
          <w:rFonts w:ascii="Arial" w:hAnsi="Arial" w:cs="Arial"/>
          <w:b/>
        </w:rPr>
      </w:pPr>
      <w:r w:rsidRPr="000F1C24">
        <w:rPr>
          <w:rFonts w:ascii="Arial" w:hAnsi="Arial" w:cs="Arial"/>
          <w:b/>
        </w:rPr>
        <w:t xml:space="preserve">4.  </w:t>
      </w:r>
      <w:r w:rsidR="00BF50E9" w:rsidRPr="000F1C24">
        <w:rPr>
          <w:rFonts w:ascii="Arial" w:hAnsi="Arial" w:cs="Arial"/>
          <w:b/>
        </w:rPr>
        <w:t xml:space="preserve">Supporting economic development </w:t>
      </w:r>
    </w:p>
    <w:p w14:paraId="3C86A211" w14:textId="77777777" w:rsidR="009F69B0" w:rsidRPr="00FE201D" w:rsidRDefault="009F69B0" w:rsidP="009F69B0">
      <w:pPr>
        <w:spacing w:after="0"/>
        <w:jc w:val="both"/>
        <w:rPr>
          <w:rFonts w:ascii="Arial" w:hAnsi="Arial" w:cs="Arial"/>
          <w:sz w:val="16"/>
          <w:szCs w:val="16"/>
        </w:rPr>
      </w:pPr>
    </w:p>
    <w:p w14:paraId="140439A6" w14:textId="77777777" w:rsidR="009F69B0" w:rsidRDefault="008C58E9" w:rsidP="00143C9E">
      <w:pPr>
        <w:spacing w:after="0" w:line="240" w:lineRule="auto"/>
        <w:ind w:right="-471"/>
        <w:rPr>
          <w:rFonts w:ascii="Arial" w:hAnsi="Arial" w:cs="Arial"/>
        </w:rPr>
      </w:pPr>
      <w:r w:rsidRPr="000652C2">
        <w:rPr>
          <w:rFonts w:ascii="Arial" w:hAnsi="Arial" w:cs="Arial"/>
        </w:rPr>
        <w:t xml:space="preserve">Scottish Water </w:t>
      </w:r>
      <w:r w:rsidR="00BF4C5A">
        <w:rPr>
          <w:rFonts w:ascii="Arial" w:hAnsi="Arial" w:cs="Arial"/>
        </w:rPr>
        <w:t xml:space="preserve">is undertaking </w:t>
      </w:r>
      <w:r w:rsidRPr="000652C2">
        <w:rPr>
          <w:rFonts w:ascii="Arial" w:hAnsi="Arial" w:cs="Arial"/>
        </w:rPr>
        <w:t xml:space="preserve">work associated with the </w:t>
      </w:r>
      <w:r>
        <w:rPr>
          <w:rFonts w:ascii="Arial" w:hAnsi="Arial" w:cs="Arial"/>
        </w:rPr>
        <w:t>6</w:t>
      </w:r>
      <w:r w:rsidRPr="000652C2">
        <w:rPr>
          <w:rFonts w:ascii="Arial" w:hAnsi="Arial" w:cs="Arial"/>
        </w:rPr>
        <w:t xml:space="preserve"> programme </w:t>
      </w:r>
      <w:r>
        <w:rPr>
          <w:rFonts w:ascii="Arial" w:hAnsi="Arial" w:cs="Arial"/>
        </w:rPr>
        <w:t>areas in the table below.</w:t>
      </w:r>
    </w:p>
    <w:p w14:paraId="0124561F" w14:textId="77777777" w:rsidR="009F69B0" w:rsidRPr="00D96D4B" w:rsidRDefault="009F69B0" w:rsidP="00A2739A">
      <w:pPr>
        <w:spacing w:after="0" w:line="240" w:lineRule="auto"/>
        <w:rPr>
          <w:rFonts w:ascii="Arial" w:hAnsi="Arial" w:cs="Arial"/>
          <w:b/>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2694"/>
        <w:gridCol w:w="993"/>
        <w:gridCol w:w="850"/>
        <w:gridCol w:w="992"/>
        <w:gridCol w:w="1072"/>
        <w:gridCol w:w="1479"/>
      </w:tblGrid>
      <w:tr w:rsidR="008C648D" w:rsidRPr="00C54741" w14:paraId="01F58735" w14:textId="77777777" w:rsidTr="0023001E">
        <w:trPr>
          <w:trHeight w:val="527"/>
        </w:trPr>
        <w:tc>
          <w:tcPr>
            <w:tcW w:w="1134" w:type="dxa"/>
            <w:tcBorders>
              <w:top w:val="single" w:sz="12" w:space="0" w:color="000000"/>
              <w:left w:val="single" w:sz="12" w:space="0" w:color="000000"/>
              <w:bottom w:val="single" w:sz="12" w:space="0" w:color="000000"/>
            </w:tcBorders>
            <w:shd w:val="clear" w:color="auto" w:fill="E0EDF9"/>
            <w:vAlign w:val="center"/>
          </w:tcPr>
          <w:p w14:paraId="6A089B4E" w14:textId="77777777" w:rsidR="008C648D" w:rsidRPr="00C54741" w:rsidRDefault="008C648D" w:rsidP="005D55BB">
            <w:pPr>
              <w:spacing w:after="0" w:line="240" w:lineRule="auto"/>
              <w:rPr>
                <w:rFonts w:ascii="Arial" w:hAnsi="Arial" w:cs="Arial"/>
                <w:b/>
                <w:bCs/>
                <w:sz w:val="18"/>
                <w:szCs w:val="18"/>
              </w:rPr>
            </w:pPr>
            <w:r>
              <w:rPr>
                <w:rFonts w:ascii="Arial" w:hAnsi="Arial" w:cs="Arial"/>
                <w:b/>
                <w:bCs/>
                <w:sz w:val="18"/>
                <w:szCs w:val="18"/>
              </w:rPr>
              <w:t>Objective</w:t>
            </w:r>
          </w:p>
        </w:tc>
        <w:tc>
          <w:tcPr>
            <w:tcW w:w="2694" w:type="dxa"/>
            <w:tcBorders>
              <w:top w:val="single" w:sz="12" w:space="0" w:color="000000"/>
              <w:bottom w:val="single" w:sz="12" w:space="0" w:color="000000"/>
            </w:tcBorders>
            <w:shd w:val="clear" w:color="auto" w:fill="E0EDF9"/>
            <w:vAlign w:val="center"/>
          </w:tcPr>
          <w:p w14:paraId="673AFA71" w14:textId="77777777" w:rsidR="008C648D" w:rsidRPr="00C54741" w:rsidRDefault="008C648D" w:rsidP="005D55BB">
            <w:pPr>
              <w:spacing w:after="0" w:line="240" w:lineRule="auto"/>
              <w:rPr>
                <w:rFonts w:ascii="Arial" w:hAnsi="Arial" w:cs="Arial"/>
                <w:b/>
                <w:bCs/>
                <w:sz w:val="18"/>
                <w:szCs w:val="18"/>
              </w:rPr>
            </w:pPr>
            <w:r>
              <w:rPr>
                <w:rFonts w:ascii="Arial" w:hAnsi="Arial" w:cs="Arial"/>
                <w:b/>
                <w:bCs/>
                <w:sz w:val="18"/>
                <w:szCs w:val="18"/>
              </w:rPr>
              <w:t>Quarterly monitored programme areas</w:t>
            </w:r>
          </w:p>
        </w:tc>
        <w:tc>
          <w:tcPr>
            <w:tcW w:w="993" w:type="dxa"/>
            <w:tcBorders>
              <w:top w:val="single" w:sz="12" w:space="0" w:color="000000"/>
              <w:bottom w:val="single" w:sz="12" w:space="0" w:color="000000"/>
            </w:tcBorders>
            <w:shd w:val="clear" w:color="auto" w:fill="E0EDF9"/>
            <w:vAlign w:val="center"/>
          </w:tcPr>
          <w:p w14:paraId="5CA6B710" w14:textId="77777777" w:rsidR="008C648D" w:rsidRDefault="008C648D" w:rsidP="005D55BB">
            <w:pPr>
              <w:spacing w:before="60" w:after="60" w:line="240" w:lineRule="auto"/>
              <w:jc w:val="center"/>
              <w:rPr>
                <w:rFonts w:ascii="Arial" w:hAnsi="Arial" w:cs="Arial"/>
                <w:b/>
                <w:bCs/>
                <w:sz w:val="18"/>
                <w:szCs w:val="18"/>
              </w:rPr>
            </w:pPr>
            <w:proofErr w:type="spellStart"/>
            <w:r>
              <w:rPr>
                <w:rFonts w:ascii="Arial" w:hAnsi="Arial" w:cs="Arial"/>
                <w:b/>
                <w:bCs/>
                <w:sz w:val="18"/>
                <w:szCs w:val="18"/>
              </w:rPr>
              <w:t>Q2</w:t>
            </w:r>
            <w:proofErr w:type="spellEnd"/>
            <w:r>
              <w:rPr>
                <w:rFonts w:ascii="Arial" w:hAnsi="Arial" w:cs="Arial"/>
                <w:b/>
                <w:bCs/>
                <w:sz w:val="18"/>
                <w:szCs w:val="18"/>
              </w:rPr>
              <w:t xml:space="preserve"> Actual</w:t>
            </w:r>
          </w:p>
        </w:tc>
        <w:tc>
          <w:tcPr>
            <w:tcW w:w="850" w:type="dxa"/>
            <w:tcBorders>
              <w:top w:val="single" w:sz="12" w:space="0" w:color="000000"/>
              <w:left w:val="single" w:sz="4" w:space="0" w:color="auto"/>
              <w:bottom w:val="single" w:sz="12" w:space="0" w:color="000000"/>
            </w:tcBorders>
            <w:shd w:val="clear" w:color="auto" w:fill="E0EDF9"/>
            <w:vAlign w:val="center"/>
          </w:tcPr>
          <w:p w14:paraId="02C9BDE1" w14:textId="77777777" w:rsidR="008C648D" w:rsidRPr="00F118AB" w:rsidRDefault="008C648D" w:rsidP="00BB7E55">
            <w:pPr>
              <w:spacing w:before="60" w:after="60" w:line="240" w:lineRule="auto"/>
              <w:jc w:val="center"/>
              <w:rPr>
                <w:rFonts w:ascii="Arial" w:hAnsi="Arial" w:cs="Arial"/>
                <w:b/>
                <w:bCs/>
                <w:sz w:val="18"/>
                <w:szCs w:val="18"/>
              </w:rPr>
            </w:pPr>
            <w:r>
              <w:rPr>
                <w:rFonts w:ascii="Arial" w:hAnsi="Arial" w:cs="Arial"/>
                <w:b/>
                <w:bCs/>
                <w:sz w:val="18"/>
                <w:szCs w:val="18"/>
              </w:rPr>
              <w:t>Q3</w:t>
            </w:r>
            <w:r>
              <w:rPr>
                <w:rFonts w:ascii="Arial" w:hAnsi="Arial" w:cs="Arial"/>
                <w:b/>
                <w:bCs/>
                <w:sz w:val="18"/>
                <w:szCs w:val="18"/>
              </w:rPr>
              <w:br/>
              <w:t>Actual</w:t>
            </w:r>
          </w:p>
        </w:tc>
        <w:tc>
          <w:tcPr>
            <w:tcW w:w="992" w:type="dxa"/>
            <w:tcBorders>
              <w:top w:val="single" w:sz="12" w:space="0" w:color="000000"/>
              <w:bottom w:val="single" w:sz="12" w:space="0" w:color="000000"/>
            </w:tcBorders>
            <w:shd w:val="clear" w:color="auto" w:fill="E0EDF9"/>
            <w:vAlign w:val="center"/>
          </w:tcPr>
          <w:p w14:paraId="108604C8" w14:textId="77777777" w:rsidR="008C648D" w:rsidRDefault="008C648D" w:rsidP="00CF0EFC">
            <w:pPr>
              <w:spacing w:before="60" w:after="60" w:line="240" w:lineRule="auto"/>
              <w:jc w:val="center"/>
              <w:rPr>
                <w:rFonts w:ascii="Arial" w:hAnsi="Arial" w:cs="Arial"/>
                <w:b/>
                <w:bCs/>
                <w:sz w:val="18"/>
                <w:szCs w:val="18"/>
              </w:rPr>
            </w:pPr>
            <w:proofErr w:type="spellStart"/>
            <w:r>
              <w:rPr>
                <w:rFonts w:ascii="Arial" w:hAnsi="Arial" w:cs="Arial"/>
                <w:b/>
                <w:bCs/>
                <w:sz w:val="18"/>
                <w:szCs w:val="18"/>
              </w:rPr>
              <w:t>Year end</w:t>
            </w:r>
            <w:proofErr w:type="spellEnd"/>
            <w:r>
              <w:rPr>
                <w:rFonts w:ascii="Arial" w:hAnsi="Arial" w:cs="Arial"/>
                <w:b/>
                <w:bCs/>
                <w:sz w:val="18"/>
                <w:szCs w:val="18"/>
              </w:rPr>
              <w:br/>
              <w:t>baseline</w:t>
            </w:r>
          </w:p>
        </w:tc>
        <w:tc>
          <w:tcPr>
            <w:tcW w:w="1072" w:type="dxa"/>
            <w:tcBorders>
              <w:top w:val="single" w:sz="12" w:space="0" w:color="000000"/>
              <w:bottom w:val="single" w:sz="12" w:space="0" w:color="000000"/>
              <w:right w:val="single" w:sz="12" w:space="0" w:color="000000"/>
            </w:tcBorders>
            <w:shd w:val="clear" w:color="auto" w:fill="E0EDF9"/>
            <w:vAlign w:val="center"/>
          </w:tcPr>
          <w:p w14:paraId="00722E4D" w14:textId="77777777" w:rsidR="008C648D" w:rsidRPr="00C54741" w:rsidRDefault="008C648D" w:rsidP="005D55BB">
            <w:pPr>
              <w:spacing w:before="60" w:after="60" w:line="240" w:lineRule="auto"/>
              <w:jc w:val="center"/>
              <w:rPr>
                <w:sz w:val="18"/>
                <w:szCs w:val="18"/>
              </w:rPr>
            </w:pPr>
            <w:r>
              <w:rPr>
                <w:rFonts w:ascii="Arial" w:hAnsi="Arial" w:cs="Arial"/>
                <w:b/>
                <w:bCs/>
                <w:sz w:val="18"/>
                <w:szCs w:val="18"/>
              </w:rPr>
              <w:t>Forecast</w:t>
            </w:r>
            <w:r w:rsidRPr="00C54741">
              <w:rPr>
                <w:rFonts w:ascii="Arial" w:hAnsi="Arial" w:cs="Arial"/>
                <w:b/>
                <w:bCs/>
                <w:sz w:val="18"/>
                <w:szCs w:val="18"/>
              </w:rPr>
              <w:t xml:space="preserve"> </w:t>
            </w:r>
            <w:r>
              <w:rPr>
                <w:rFonts w:ascii="Arial" w:hAnsi="Arial" w:cs="Arial"/>
                <w:b/>
                <w:bCs/>
                <w:sz w:val="18"/>
                <w:szCs w:val="18"/>
              </w:rPr>
              <w:t xml:space="preserve"> year end</w:t>
            </w:r>
            <w:r>
              <w:rPr>
                <w:rFonts w:ascii="Arial" w:hAnsi="Arial" w:cs="Arial"/>
                <w:b/>
                <w:bCs/>
                <w:sz w:val="18"/>
                <w:szCs w:val="18"/>
              </w:rPr>
              <w:br/>
              <w:t xml:space="preserve">status </w:t>
            </w:r>
          </w:p>
        </w:tc>
        <w:tc>
          <w:tcPr>
            <w:tcW w:w="1479" w:type="dxa"/>
            <w:tcBorders>
              <w:top w:val="single" w:sz="12" w:space="0" w:color="000000"/>
              <w:bottom w:val="single" w:sz="12" w:space="0" w:color="000000"/>
              <w:right w:val="single" w:sz="12" w:space="0" w:color="000000"/>
            </w:tcBorders>
            <w:shd w:val="clear" w:color="auto" w:fill="E0EDF9"/>
          </w:tcPr>
          <w:p w14:paraId="3766E896" w14:textId="77777777" w:rsidR="008C648D" w:rsidRDefault="0025204A">
            <w:pPr>
              <w:spacing w:before="60" w:after="60" w:line="240" w:lineRule="auto"/>
              <w:jc w:val="center"/>
              <w:rPr>
                <w:rFonts w:ascii="Arial" w:hAnsi="Arial" w:cs="Arial"/>
                <w:b/>
                <w:bCs/>
                <w:sz w:val="18"/>
                <w:szCs w:val="18"/>
              </w:rPr>
            </w:pPr>
            <w:r>
              <w:rPr>
                <w:rFonts w:ascii="Arial" w:hAnsi="Arial" w:cs="Arial"/>
                <w:b/>
                <w:bCs/>
                <w:sz w:val="18"/>
                <w:szCs w:val="18"/>
              </w:rPr>
              <w:t>Total number of outputs over the regulatory period</w:t>
            </w:r>
          </w:p>
        </w:tc>
      </w:tr>
      <w:tr w:rsidR="008C648D" w:rsidRPr="00B87486" w14:paraId="62A24067" w14:textId="77777777" w:rsidTr="0023001E">
        <w:trPr>
          <w:trHeight w:val="497"/>
        </w:trPr>
        <w:tc>
          <w:tcPr>
            <w:tcW w:w="1134" w:type="dxa"/>
            <w:vMerge w:val="restart"/>
            <w:tcBorders>
              <w:top w:val="single" w:sz="12" w:space="0" w:color="000000"/>
              <w:left w:val="single" w:sz="12" w:space="0" w:color="000000"/>
              <w:bottom w:val="single" w:sz="12" w:space="0" w:color="000000"/>
            </w:tcBorders>
            <w:vAlign w:val="center"/>
          </w:tcPr>
          <w:p w14:paraId="4350AA7C" w14:textId="77777777" w:rsidR="008C648D" w:rsidRPr="005279C8" w:rsidRDefault="008C648D" w:rsidP="00F9496B">
            <w:pPr>
              <w:spacing w:after="0"/>
              <w:rPr>
                <w:rFonts w:ascii="Arial" w:hAnsi="Arial" w:cs="Arial"/>
                <w:sz w:val="16"/>
                <w:szCs w:val="16"/>
              </w:rPr>
            </w:pPr>
            <w:r w:rsidRPr="00191E39">
              <w:rPr>
                <w:rFonts w:ascii="Arial" w:hAnsi="Arial" w:cs="Arial"/>
                <w:sz w:val="16"/>
                <w:szCs w:val="16"/>
              </w:rPr>
              <w:t>Supporting economic development</w:t>
            </w:r>
          </w:p>
        </w:tc>
        <w:tc>
          <w:tcPr>
            <w:tcW w:w="2694" w:type="dxa"/>
            <w:vAlign w:val="center"/>
          </w:tcPr>
          <w:p w14:paraId="08A933AA" w14:textId="77777777" w:rsidR="008C648D" w:rsidRPr="0001089F" w:rsidRDefault="008C648D">
            <w:pPr>
              <w:spacing w:after="0"/>
              <w:rPr>
                <w:rFonts w:ascii="Arial" w:hAnsi="Arial" w:cs="Arial"/>
                <w:sz w:val="16"/>
                <w:szCs w:val="16"/>
              </w:rPr>
            </w:pPr>
            <w:r w:rsidRPr="0001089F">
              <w:rPr>
                <w:rFonts w:ascii="Arial" w:hAnsi="Arial" w:cs="Arial"/>
                <w:sz w:val="16"/>
                <w:szCs w:val="16"/>
              </w:rPr>
              <w:t xml:space="preserve">Number of </w:t>
            </w:r>
            <w:r>
              <w:rPr>
                <w:rFonts w:ascii="Arial" w:hAnsi="Arial" w:cs="Arial"/>
                <w:sz w:val="16"/>
                <w:szCs w:val="16"/>
              </w:rPr>
              <w:t xml:space="preserve">new connections to </w:t>
            </w:r>
            <w:r w:rsidRPr="0001089F">
              <w:rPr>
                <w:rFonts w:ascii="Arial" w:hAnsi="Arial" w:cs="Arial"/>
                <w:sz w:val="16"/>
                <w:szCs w:val="16"/>
              </w:rPr>
              <w:t xml:space="preserve"> households and businesses</w:t>
            </w:r>
          </w:p>
        </w:tc>
        <w:tc>
          <w:tcPr>
            <w:tcW w:w="993" w:type="dxa"/>
            <w:tcBorders>
              <w:top w:val="single" w:sz="12" w:space="0" w:color="000000"/>
              <w:right w:val="single" w:sz="4" w:space="0" w:color="000000"/>
            </w:tcBorders>
            <w:shd w:val="clear" w:color="auto" w:fill="BFBFBF"/>
            <w:vAlign w:val="center"/>
          </w:tcPr>
          <w:p w14:paraId="5E2FB85A" w14:textId="77777777" w:rsidR="008C648D" w:rsidRPr="0001089F" w:rsidRDefault="008C648D" w:rsidP="00737AFE">
            <w:pPr>
              <w:spacing w:after="0" w:line="240" w:lineRule="auto"/>
              <w:jc w:val="center"/>
              <w:rPr>
                <w:rFonts w:ascii="Arial" w:hAnsi="Arial" w:cs="Arial"/>
                <w:bCs/>
                <w:sz w:val="16"/>
                <w:szCs w:val="16"/>
              </w:rPr>
            </w:pPr>
            <w:r>
              <w:rPr>
                <w:rFonts w:ascii="Arial" w:hAnsi="Arial" w:cs="Arial"/>
                <w:bCs/>
                <w:sz w:val="16"/>
                <w:szCs w:val="16"/>
              </w:rPr>
              <w:t>8,188</w:t>
            </w:r>
          </w:p>
        </w:tc>
        <w:tc>
          <w:tcPr>
            <w:tcW w:w="850" w:type="dxa"/>
            <w:tcBorders>
              <w:top w:val="single" w:sz="12" w:space="0" w:color="000000"/>
              <w:left w:val="single" w:sz="4" w:space="0" w:color="000000"/>
              <w:right w:val="single" w:sz="4" w:space="0" w:color="000000"/>
            </w:tcBorders>
            <w:vAlign w:val="center"/>
          </w:tcPr>
          <w:p w14:paraId="67C04C5B" w14:textId="77777777" w:rsidR="008C648D" w:rsidRPr="00BB7E55" w:rsidRDefault="008C648D" w:rsidP="00737AFE">
            <w:pPr>
              <w:spacing w:after="0" w:line="240" w:lineRule="auto"/>
              <w:jc w:val="center"/>
              <w:rPr>
                <w:rFonts w:ascii="Arial" w:hAnsi="Arial" w:cs="Arial"/>
                <w:bCs/>
                <w:sz w:val="16"/>
                <w:szCs w:val="16"/>
                <w:highlight w:val="yellow"/>
              </w:rPr>
            </w:pPr>
            <w:r w:rsidRPr="00C55133">
              <w:rPr>
                <w:rFonts w:ascii="Arial" w:hAnsi="Arial" w:cs="Arial"/>
                <w:bCs/>
                <w:sz w:val="16"/>
                <w:szCs w:val="16"/>
              </w:rPr>
              <w:t>11,999</w:t>
            </w:r>
          </w:p>
        </w:tc>
        <w:tc>
          <w:tcPr>
            <w:tcW w:w="992" w:type="dxa"/>
            <w:tcBorders>
              <w:top w:val="single" w:sz="12" w:space="0" w:color="000000"/>
              <w:left w:val="single" w:sz="4" w:space="0" w:color="000000"/>
              <w:right w:val="single" w:sz="4" w:space="0" w:color="000000"/>
            </w:tcBorders>
            <w:vAlign w:val="center"/>
          </w:tcPr>
          <w:p w14:paraId="573E1BF8" w14:textId="77777777" w:rsidR="008C648D" w:rsidRPr="0001089F" w:rsidRDefault="008C648D" w:rsidP="00737AFE">
            <w:pPr>
              <w:spacing w:after="0" w:line="240" w:lineRule="auto"/>
              <w:jc w:val="center"/>
              <w:rPr>
                <w:rFonts w:ascii="Arial" w:hAnsi="Arial" w:cs="Arial"/>
                <w:bCs/>
                <w:sz w:val="16"/>
                <w:szCs w:val="16"/>
              </w:rPr>
            </w:pPr>
            <w:r>
              <w:rPr>
                <w:rFonts w:ascii="Arial" w:hAnsi="Arial" w:cs="Arial"/>
                <w:bCs/>
                <w:sz w:val="16"/>
                <w:szCs w:val="16"/>
              </w:rPr>
              <w:t>18,218</w:t>
            </w:r>
          </w:p>
        </w:tc>
        <w:tc>
          <w:tcPr>
            <w:tcW w:w="1072" w:type="dxa"/>
            <w:tcBorders>
              <w:top w:val="single" w:sz="12" w:space="0" w:color="000000"/>
              <w:left w:val="single" w:sz="4" w:space="0" w:color="000000"/>
              <w:bottom w:val="single" w:sz="4" w:space="0" w:color="000000"/>
              <w:right w:val="single" w:sz="12" w:space="0" w:color="000000"/>
            </w:tcBorders>
            <w:shd w:val="clear" w:color="auto" w:fill="auto"/>
            <w:vAlign w:val="center"/>
          </w:tcPr>
          <w:p w14:paraId="04C3DBEE" w14:textId="77777777" w:rsidR="008C648D" w:rsidRPr="0001089F" w:rsidRDefault="008C648D" w:rsidP="00737AFE">
            <w:pPr>
              <w:spacing w:after="0" w:line="240" w:lineRule="auto"/>
              <w:jc w:val="center"/>
              <w:rPr>
                <w:rFonts w:ascii="Arial" w:hAnsi="Arial" w:cs="Arial"/>
                <w:bCs/>
                <w:sz w:val="16"/>
                <w:szCs w:val="16"/>
              </w:rPr>
            </w:pPr>
            <w:r>
              <w:rPr>
                <w:rFonts w:ascii="Arial" w:hAnsi="Arial" w:cs="Arial"/>
                <w:bCs/>
                <w:sz w:val="16"/>
                <w:szCs w:val="16"/>
              </w:rPr>
              <w:t>demand driven</w:t>
            </w:r>
          </w:p>
        </w:tc>
        <w:tc>
          <w:tcPr>
            <w:tcW w:w="1479" w:type="dxa"/>
            <w:tcBorders>
              <w:bottom w:val="single" w:sz="4" w:space="0" w:color="000000"/>
              <w:right w:val="single" w:sz="12" w:space="0" w:color="000000"/>
            </w:tcBorders>
            <w:vAlign w:val="center"/>
          </w:tcPr>
          <w:p w14:paraId="68D8DCFA" w14:textId="77777777" w:rsidR="008C648D" w:rsidRPr="004A3AB6" w:rsidRDefault="008C648D" w:rsidP="00737AFE">
            <w:pPr>
              <w:spacing w:after="0" w:line="240" w:lineRule="auto"/>
              <w:jc w:val="center"/>
              <w:rPr>
                <w:rFonts w:ascii="Arial" w:hAnsi="Arial" w:cs="Arial"/>
                <w:bCs/>
                <w:sz w:val="16"/>
                <w:szCs w:val="16"/>
              </w:rPr>
            </w:pPr>
            <w:r w:rsidRPr="004A3AB6">
              <w:rPr>
                <w:rFonts w:ascii="Arial" w:hAnsi="Arial" w:cs="Arial"/>
                <w:bCs/>
                <w:sz w:val="16"/>
                <w:szCs w:val="16"/>
              </w:rPr>
              <w:t>56,500</w:t>
            </w:r>
          </w:p>
        </w:tc>
      </w:tr>
      <w:tr w:rsidR="008C648D" w:rsidRPr="00B87486" w14:paraId="2927649A" w14:textId="77777777" w:rsidTr="0023001E">
        <w:trPr>
          <w:trHeight w:val="312"/>
        </w:trPr>
        <w:tc>
          <w:tcPr>
            <w:tcW w:w="1134" w:type="dxa"/>
            <w:vMerge/>
            <w:tcBorders>
              <w:left w:val="single" w:sz="12" w:space="0" w:color="000000"/>
              <w:bottom w:val="single" w:sz="12" w:space="0" w:color="000000"/>
            </w:tcBorders>
            <w:vAlign w:val="center"/>
          </w:tcPr>
          <w:p w14:paraId="058DAA9B" w14:textId="77777777" w:rsidR="008C648D" w:rsidRPr="005279C8" w:rsidRDefault="008C648D" w:rsidP="00F9496B">
            <w:pPr>
              <w:spacing w:after="0"/>
              <w:rPr>
                <w:rFonts w:ascii="Arial" w:hAnsi="Arial" w:cs="Arial"/>
                <w:sz w:val="16"/>
                <w:szCs w:val="16"/>
              </w:rPr>
            </w:pPr>
          </w:p>
        </w:tc>
        <w:tc>
          <w:tcPr>
            <w:tcW w:w="2694" w:type="dxa"/>
            <w:vAlign w:val="center"/>
          </w:tcPr>
          <w:p w14:paraId="26D6A11A" w14:textId="77777777" w:rsidR="008C648D" w:rsidRPr="0001089F" w:rsidRDefault="008C648D" w:rsidP="00F9496B">
            <w:pPr>
              <w:spacing w:after="0"/>
              <w:rPr>
                <w:rFonts w:ascii="Arial" w:hAnsi="Arial" w:cs="Arial"/>
                <w:sz w:val="16"/>
                <w:szCs w:val="16"/>
              </w:rPr>
            </w:pPr>
            <w:r w:rsidRPr="0001089F">
              <w:rPr>
                <w:rFonts w:ascii="Arial" w:hAnsi="Arial" w:cs="Arial"/>
                <w:sz w:val="16"/>
                <w:szCs w:val="16"/>
              </w:rPr>
              <w:t>Delivery of new waste water capacity for 58,000 people</w:t>
            </w:r>
          </w:p>
        </w:tc>
        <w:tc>
          <w:tcPr>
            <w:tcW w:w="993" w:type="dxa"/>
            <w:tcBorders>
              <w:right w:val="single" w:sz="4" w:space="0" w:color="000000"/>
            </w:tcBorders>
            <w:shd w:val="clear" w:color="auto" w:fill="BFBFBF"/>
            <w:vAlign w:val="center"/>
          </w:tcPr>
          <w:p w14:paraId="12EF1D0B" w14:textId="77777777" w:rsidR="008C648D" w:rsidRPr="0001089F" w:rsidRDefault="008C648D" w:rsidP="00737AFE">
            <w:pPr>
              <w:spacing w:after="0" w:line="240" w:lineRule="auto"/>
              <w:jc w:val="center"/>
              <w:rPr>
                <w:rFonts w:ascii="Arial" w:hAnsi="Arial" w:cs="Arial"/>
                <w:bCs/>
                <w:sz w:val="16"/>
                <w:szCs w:val="16"/>
              </w:rPr>
            </w:pPr>
            <w:r>
              <w:rPr>
                <w:rFonts w:ascii="Arial" w:hAnsi="Arial" w:cs="Arial"/>
                <w:bCs/>
                <w:sz w:val="16"/>
                <w:szCs w:val="16"/>
              </w:rPr>
              <w:t>0</w:t>
            </w:r>
          </w:p>
        </w:tc>
        <w:tc>
          <w:tcPr>
            <w:tcW w:w="850" w:type="dxa"/>
            <w:tcBorders>
              <w:left w:val="single" w:sz="4" w:space="0" w:color="000000"/>
              <w:right w:val="single" w:sz="4" w:space="0" w:color="000000"/>
            </w:tcBorders>
            <w:vAlign w:val="center"/>
          </w:tcPr>
          <w:p w14:paraId="7A39E41E" w14:textId="77777777" w:rsidR="008C648D" w:rsidRPr="004A3AB6" w:rsidRDefault="008C648D" w:rsidP="00737AFE">
            <w:pPr>
              <w:spacing w:after="0" w:line="240" w:lineRule="auto"/>
              <w:jc w:val="center"/>
              <w:rPr>
                <w:rFonts w:ascii="Arial" w:hAnsi="Arial" w:cs="Arial"/>
                <w:bCs/>
                <w:sz w:val="16"/>
                <w:szCs w:val="16"/>
              </w:rPr>
            </w:pPr>
            <w:r w:rsidRPr="004A3AB6">
              <w:rPr>
                <w:rFonts w:ascii="Arial" w:hAnsi="Arial" w:cs="Arial"/>
                <w:bCs/>
                <w:sz w:val="16"/>
                <w:szCs w:val="16"/>
              </w:rPr>
              <w:t>0</w:t>
            </w:r>
          </w:p>
        </w:tc>
        <w:tc>
          <w:tcPr>
            <w:tcW w:w="992" w:type="dxa"/>
            <w:tcBorders>
              <w:left w:val="single" w:sz="4" w:space="0" w:color="000000"/>
              <w:right w:val="single" w:sz="4" w:space="0" w:color="000000"/>
            </w:tcBorders>
            <w:vAlign w:val="center"/>
          </w:tcPr>
          <w:p w14:paraId="19F14AC9" w14:textId="77777777" w:rsidR="008C648D" w:rsidRPr="0001089F" w:rsidRDefault="008C648D" w:rsidP="00737AFE">
            <w:pPr>
              <w:spacing w:after="0" w:line="240" w:lineRule="auto"/>
              <w:jc w:val="center"/>
              <w:rPr>
                <w:rFonts w:ascii="Arial" w:hAnsi="Arial" w:cs="Arial"/>
                <w:bCs/>
                <w:sz w:val="16"/>
                <w:szCs w:val="16"/>
              </w:rPr>
            </w:pPr>
            <w:r>
              <w:rPr>
                <w:rFonts w:ascii="Arial" w:hAnsi="Arial" w:cs="Arial"/>
                <w:bCs/>
                <w:sz w:val="16"/>
                <w:szCs w:val="16"/>
              </w:rPr>
              <w:t>15,353</w:t>
            </w:r>
          </w:p>
        </w:tc>
        <w:tc>
          <w:tcPr>
            <w:tcW w:w="1072" w:type="dxa"/>
            <w:tcBorders>
              <w:left w:val="single" w:sz="4" w:space="0" w:color="000000"/>
              <w:bottom w:val="single" w:sz="4" w:space="0" w:color="000000"/>
              <w:right w:val="single" w:sz="12" w:space="0" w:color="000000"/>
            </w:tcBorders>
            <w:shd w:val="clear" w:color="auto" w:fill="auto"/>
            <w:vAlign w:val="center"/>
          </w:tcPr>
          <w:p w14:paraId="58CECC79" w14:textId="77777777" w:rsidR="008C648D" w:rsidRPr="0001089F" w:rsidRDefault="008C648D" w:rsidP="00737AFE">
            <w:pPr>
              <w:spacing w:after="0" w:line="240" w:lineRule="auto"/>
              <w:jc w:val="center"/>
              <w:rPr>
                <w:rFonts w:ascii="Arial" w:hAnsi="Arial" w:cs="Arial"/>
                <w:bCs/>
                <w:sz w:val="16"/>
                <w:szCs w:val="16"/>
              </w:rPr>
            </w:pPr>
            <w:r w:rsidRPr="008B53A8">
              <w:rPr>
                <w:rFonts w:ascii="Arial" w:hAnsi="Arial" w:cs="Arial"/>
                <w:bCs/>
                <w:sz w:val="16"/>
                <w:szCs w:val="16"/>
              </w:rPr>
              <w:t>demand driven</w:t>
            </w:r>
          </w:p>
        </w:tc>
        <w:tc>
          <w:tcPr>
            <w:tcW w:w="1479" w:type="dxa"/>
            <w:tcBorders>
              <w:bottom w:val="single" w:sz="4" w:space="0" w:color="000000"/>
              <w:right w:val="single" w:sz="12" w:space="0" w:color="000000"/>
            </w:tcBorders>
            <w:vAlign w:val="center"/>
          </w:tcPr>
          <w:p w14:paraId="1087146D" w14:textId="77777777" w:rsidR="008C648D" w:rsidRPr="004A3AB6" w:rsidRDefault="008C648D" w:rsidP="00737AFE">
            <w:pPr>
              <w:spacing w:after="0" w:line="240" w:lineRule="auto"/>
              <w:jc w:val="center"/>
              <w:rPr>
                <w:rFonts w:ascii="Arial" w:hAnsi="Arial" w:cs="Arial"/>
                <w:bCs/>
                <w:sz w:val="16"/>
                <w:szCs w:val="16"/>
              </w:rPr>
            </w:pPr>
            <w:r w:rsidRPr="004A3AB6">
              <w:rPr>
                <w:rFonts w:ascii="Arial" w:hAnsi="Arial" w:cs="Arial"/>
                <w:bCs/>
                <w:sz w:val="16"/>
                <w:szCs w:val="16"/>
              </w:rPr>
              <w:t>58,000</w:t>
            </w:r>
          </w:p>
        </w:tc>
      </w:tr>
      <w:tr w:rsidR="008C648D" w:rsidRPr="00B87486" w14:paraId="735721E4" w14:textId="77777777" w:rsidTr="0023001E">
        <w:trPr>
          <w:trHeight w:val="312"/>
        </w:trPr>
        <w:tc>
          <w:tcPr>
            <w:tcW w:w="1134" w:type="dxa"/>
            <w:vMerge/>
            <w:tcBorders>
              <w:left w:val="single" w:sz="12" w:space="0" w:color="000000"/>
              <w:bottom w:val="single" w:sz="12" w:space="0" w:color="000000"/>
            </w:tcBorders>
            <w:vAlign w:val="center"/>
          </w:tcPr>
          <w:p w14:paraId="674B3AF7" w14:textId="77777777" w:rsidR="008C648D" w:rsidRPr="005279C8" w:rsidRDefault="008C648D" w:rsidP="00F9496B">
            <w:pPr>
              <w:spacing w:after="0"/>
              <w:rPr>
                <w:rFonts w:ascii="Arial" w:hAnsi="Arial" w:cs="Arial"/>
                <w:sz w:val="16"/>
                <w:szCs w:val="16"/>
              </w:rPr>
            </w:pPr>
          </w:p>
        </w:tc>
        <w:tc>
          <w:tcPr>
            <w:tcW w:w="2694" w:type="dxa"/>
            <w:tcBorders>
              <w:bottom w:val="single" w:sz="4" w:space="0" w:color="000000"/>
            </w:tcBorders>
            <w:vAlign w:val="center"/>
          </w:tcPr>
          <w:p w14:paraId="4C21F976" w14:textId="77777777" w:rsidR="008C648D" w:rsidRPr="0001089F" w:rsidRDefault="008C648D" w:rsidP="00F9496B">
            <w:pPr>
              <w:spacing w:after="0"/>
              <w:rPr>
                <w:rFonts w:ascii="Arial" w:hAnsi="Arial" w:cs="Arial"/>
                <w:sz w:val="16"/>
                <w:szCs w:val="16"/>
              </w:rPr>
            </w:pPr>
            <w:r w:rsidRPr="0001089F">
              <w:rPr>
                <w:rFonts w:ascii="Arial" w:hAnsi="Arial" w:cs="Arial"/>
                <w:sz w:val="16"/>
                <w:szCs w:val="16"/>
              </w:rPr>
              <w:t xml:space="preserve">Number of first time non domestic meters installed </w:t>
            </w:r>
          </w:p>
        </w:tc>
        <w:tc>
          <w:tcPr>
            <w:tcW w:w="993" w:type="dxa"/>
            <w:tcBorders>
              <w:bottom w:val="single" w:sz="4" w:space="0" w:color="000000"/>
              <w:right w:val="single" w:sz="4" w:space="0" w:color="000000"/>
            </w:tcBorders>
            <w:shd w:val="clear" w:color="auto" w:fill="BFBFBF"/>
            <w:vAlign w:val="center"/>
          </w:tcPr>
          <w:p w14:paraId="4E6BF4A4" w14:textId="77777777" w:rsidR="008C648D" w:rsidRPr="0001089F" w:rsidRDefault="008C648D" w:rsidP="00737AFE">
            <w:pPr>
              <w:spacing w:after="0" w:line="240" w:lineRule="auto"/>
              <w:jc w:val="center"/>
              <w:rPr>
                <w:rFonts w:ascii="Arial" w:hAnsi="Arial" w:cs="Arial"/>
                <w:bCs/>
                <w:sz w:val="16"/>
                <w:szCs w:val="16"/>
              </w:rPr>
            </w:pPr>
            <w:r>
              <w:rPr>
                <w:rFonts w:ascii="Arial" w:hAnsi="Arial" w:cs="Arial"/>
                <w:bCs/>
                <w:sz w:val="16"/>
                <w:szCs w:val="16"/>
              </w:rPr>
              <w:t>2,520</w:t>
            </w:r>
          </w:p>
        </w:tc>
        <w:tc>
          <w:tcPr>
            <w:tcW w:w="850" w:type="dxa"/>
            <w:tcBorders>
              <w:left w:val="single" w:sz="4" w:space="0" w:color="000000"/>
              <w:bottom w:val="single" w:sz="4" w:space="0" w:color="000000"/>
              <w:right w:val="single" w:sz="4" w:space="0" w:color="000000"/>
            </w:tcBorders>
            <w:vAlign w:val="center"/>
          </w:tcPr>
          <w:p w14:paraId="1E950A14" w14:textId="77777777" w:rsidR="008C648D" w:rsidRPr="004A3AB6" w:rsidRDefault="008C648D" w:rsidP="00737AFE">
            <w:pPr>
              <w:spacing w:after="0" w:line="240" w:lineRule="auto"/>
              <w:jc w:val="center"/>
              <w:rPr>
                <w:rFonts w:ascii="Arial" w:hAnsi="Arial" w:cs="Arial"/>
                <w:bCs/>
                <w:sz w:val="16"/>
                <w:szCs w:val="16"/>
              </w:rPr>
            </w:pPr>
            <w:r w:rsidRPr="004A3AB6">
              <w:rPr>
                <w:rFonts w:ascii="Arial" w:hAnsi="Arial" w:cs="Arial"/>
                <w:bCs/>
                <w:sz w:val="16"/>
                <w:szCs w:val="16"/>
              </w:rPr>
              <w:t>3,263</w:t>
            </w:r>
          </w:p>
        </w:tc>
        <w:tc>
          <w:tcPr>
            <w:tcW w:w="992" w:type="dxa"/>
            <w:tcBorders>
              <w:left w:val="single" w:sz="4" w:space="0" w:color="000000"/>
              <w:bottom w:val="single" w:sz="4" w:space="0" w:color="000000"/>
              <w:right w:val="single" w:sz="4" w:space="0" w:color="000000"/>
            </w:tcBorders>
            <w:vAlign w:val="center"/>
          </w:tcPr>
          <w:p w14:paraId="56B05437" w14:textId="77777777" w:rsidR="008C648D" w:rsidRPr="0001089F" w:rsidRDefault="008C648D" w:rsidP="00737AFE">
            <w:pPr>
              <w:spacing w:after="0" w:line="240" w:lineRule="auto"/>
              <w:jc w:val="center"/>
              <w:rPr>
                <w:rFonts w:ascii="Arial" w:hAnsi="Arial" w:cs="Arial"/>
                <w:bCs/>
                <w:sz w:val="16"/>
                <w:szCs w:val="16"/>
              </w:rPr>
            </w:pPr>
            <w:r>
              <w:rPr>
                <w:rFonts w:ascii="Arial" w:hAnsi="Arial" w:cs="Arial"/>
                <w:bCs/>
                <w:sz w:val="16"/>
                <w:szCs w:val="16"/>
              </w:rPr>
              <w:t>3,000</w:t>
            </w:r>
          </w:p>
        </w:tc>
        <w:tc>
          <w:tcPr>
            <w:tcW w:w="1072" w:type="dxa"/>
            <w:tcBorders>
              <w:left w:val="single" w:sz="4" w:space="0" w:color="000000"/>
              <w:bottom w:val="single" w:sz="4" w:space="0" w:color="000000"/>
              <w:right w:val="single" w:sz="12" w:space="0" w:color="000000"/>
            </w:tcBorders>
            <w:shd w:val="clear" w:color="auto" w:fill="auto"/>
            <w:vAlign w:val="center"/>
          </w:tcPr>
          <w:p w14:paraId="459BAF9A" w14:textId="77777777" w:rsidR="008C648D" w:rsidRPr="0001089F" w:rsidRDefault="008C648D" w:rsidP="00737AFE">
            <w:pPr>
              <w:spacing w:after="0" w:line="240" w:lineRule="auto"/>
              <w:jc w:val="center"/>
              <w:rPr>
                <w:rFonts w:ascii="Arial" w:hAnsi="Arial" w:cs="Arial"/>
                <w:bCs/>
                <w:sz w:val="16"/>
                <w:szCs w:val="16"/>
              </w:rPr>
            </w:pPr>
            <w:r w:rsidRPr="008B53A8">
              <w:rPr>
                <w:rFonts w:ascii="Arial" w:hAnsi="Arial" w:cs="Arial"/>
                <w:bCs/>
                <w:sz w:val="16"/>
                <w:szCs w:val="16"/>
              </w:rPr>
              <w:t>demand driven</w:t>
            </w:r>
          </w:p>
        </w:tc>
        <w:tc>
          <w:tcPr>
            <w:tcW w:w="1479" w:type="dxa"/>
            <w:tcBorders>
              <w:bottom w:val="single" w:sz="4" w:space="0" w:color="000000"/>
              <w:right w:val="single" w:sz="12" w:space="0" w:color="000000"/>
            </w:tcBorders>
            <w:vAlign w:val="center"/>
          </w:tcPr>
          <w:p w14:paraId="00AC76D3" w14:textId="77777777" w:rsidR="008C648D" w:rsidRPr="004A3AB6" w:rsidRDefault="008C648D" w:rsidP="00737AFE">
            <w:pPr>
              <w:spacing w:after="0" w:line="240" w:lineRule="auto"/>
              <w:jc w:val="center"/>
              <w:rPr>
                <w:rFonts w:ascii="Arial" w:hAnsi="Arial" w:cs="Arial"/>
                <w:bCs/>
                <w:sz w:val="16"/>
                <w:szCs w:val="16"/>
              </w:rPr>
            </w:pPr>
            <w:r w:rsidRPr="004A3AB6">
              <w:rPr>
                <w:rFonts w:ascii="Arial" w:hAnsi="Arial" w:cs="Arial"/>
                <w:bCs/>
                <w:sz w:val="16"/>
                <w:szCs w:val="16"/>
              </w:rPr>
              <w:t>18,000</w:t>
            </w:r>
          </w:p>
        </w:tc>
      </w:tr>
      <w:tr w:rsidR="008C648D" w:rsidRPr="00B87486" w14:paraId="791A9F9D" w14:textId="77777777" w:rsidTr="0023001E">
        <w:trPr>
          <w:trHeight w:val="312"/>
        </w:trPr>
        <w:tc>
          <w:tcPr>
            <w:tcW w:w="1134" w:type="dxa"/>
            <w:vMerge/>
            <w:tcBorders>
              <w:left w:val="single" w:sz="12" w:space="0" w:color="000000"/>
              <w:bottom w:val="single" w:sz="12" w:space="0" w:color="000000"/>
            </w:tcBorders>
            <w:vAlign w:val="center"/>
          </w:tcPr>
          <w:p w14:paraId="70BC0C3B" w14:textId="77777777" w:rsidR="008C648D" w:rsidRPr="005279C8" w:rsidRDefault="008C648D" w:rsidP="00F9496B">
            <w:pPr>
              <w:spacing w:after="0"/>
              <w:rPr>
                <w:rFonts w:ascii="Arial" w:hAnsi="Arial" w:cs="Arial"/>
                <w:sz w:val="16"/>
                <w:szCs w:val="16"/>
              </w:rPr>
            </w:pPr>
          </w:p>
        </w:tc>
        <w:tc>
          <w:tcPr>
            <w:tcW w:w="2694" w:type="dxa"/>
            <w:tcBorders>
              <w:bottom w:val="single" w:sz="12" w:space="0" w:color="000000"/>
            </w:tcBorders>
            <w:vAlign w:val="center"/>
          </w:tcPr>
          <w:p w14:paraId="792E2818" w14:textId="77777777" w:rsidR="008C648D" w:rsidRPr="0001089F" w:rsidRDefault="008C648D">
            <w:pPr>
              <w:spacing w:after="0"/>
              <w:rPr>
                <w:rFonts w:ascii="Arial" w:hAnsi="Arial" w:cs="Arial"/>
                <w:sz w:val="16"/>
                <w:szCs w:val="16"/>
              </w:rPr>
            </w:pPr>
            <w:r w:rsidRPr="0001089F">
              <w:rPr>
                <w:rFonts w:ascii="Arial" w:hAnsi="Arial" w:cs="Arial"/>
                <w:sz w:val="16"/>
                <w:szCs w:val="16"/>
              </w:rPr>
              <w:t>Number of wholesale meter</w:t>
            </w:r>
            <w:r>
              <w:rPr>
                <w:rFonts w:ascii="Arial" w:hAnsi="Arial" w:cs="Arial"/>
                <w:sz w:val="16"/>
                <w:szCs w:val="16"/>
              </w:rPr>
              <w:t>s</w:t>
            </w:r>
            <w:r w:rsidRPr="0001089F">
              <w:rPr>
                <w:rFonts w:ascii="Arial" w:hAnsi="Arial" w:cs="Arial"/>
                <w:sz w:val="16"/>
                <w:szCs w:val="16"/>
              </w:rPr>
              <w:t xml:space="preserve"> </w:t>
            </w:r>
          </w:p>
        </w:tc>
        <w:tc>
          <w:tcPr>
            <w:tcW w:w="993" w:type="dxa"/>
            <w:tcBorders>
              <w:bottom w:val="single" w:sz="12" w:space="0" w:color="000000"/>
              <w:right w:val="single" w:sz="4" w:space="0" w:color="000000"/>
            </w:tcBorders>
            <w:shd w:val="clear" w:color="auto" w:fill="BFBFBF"/>
            <w:vAlign w:val="center"/>
          </w:tcPr>
          <w:p w14:paraId="7AC519E0" w14:textId="77777777" w:rsidR="008C648D" w:rsidRPr="0001089F" w:rsidRDefault="008C648D" w:rsidP="00737AFE">
            <w:pPr>
              <w:spacing w:after="0" w:line="240" w:lineRule="auto"/>
              <w:jc w:val="center"/>
              <w:rPr>
                <w:rFonts w:ascii="Arial" w:hAnsi="Arial" w:cs="Arial"/>
                <w:bCs/>
                <w:sz w:val="16"/>
                <w:szCs w:val="16"/>
              </w:rPr>
            </w:pPr>
            <w:r>
              <w:rPr>
                <w:rFonts w:ascii="Arial" w:hAnsi="Arial" w:cs="Arial"/>
                <w:bCs/>
                <w:sz w:val="16"/>
                <w:szCs w:val="16"/>
              </w:rPr>
              <w:t>2,828</w:t>
            </w:r>
          </w:p>
        </w:tc>
        <w:tc>
          <w:tcPr>
            <w:tcW w:w="850" w:type="dxa"/>
            <w:tcBorders>
              <w:left w:val="single" w:sz="4" w:space="0" w:color="000000"/>
              <w:bottom w:val="single" w:sz="12" w:space="0" w:color="000000"/>
              <w:right w:val="single" w:sz="4" w:space="0" w:color="000000"/>
            </w:tcBorders>
            <w:vAlign w:val="center"/>
          </w:tcPr>
          <w:p w14:paraId="767E9BA3" w14:textId="77777777" w:rsidR="008C648D" w:rsidRPr="004A3AB6" w:rsidRDefault="008C648D" w:rsidP="00737AFE">
            <w:pPr>
              <w:spacing w:after="0" w:line="240" w:lineRule="auto"/>
              <w:jc w:val="center"/>
              <w:rPr>
                <w:rFonts w:ascii="Arial" w:hAnsi="Arial" w:cs="Arial"/>
                <w:bCs/>
                <w:sz w:val="16"/>
                <w:szCs w:val="16"/>
              </w:rPr>
            </w:pPr>
            <w:r w:rsidRPr="004A3AB6">
              <w:rPr>
                <w:rFonts w:ascii="Arial" w:hAnsi="Arial" w:cs="Arial"/>
                <w:bCs/>
                <w:sz w:val="16"/>
                <w:szCs w:val="16"/>
              </w:rPr>
              <w:t>4,535</w:t>
            </w:r>
          </w:p>
        </w:tc>
        <w:tc>
          <w:tcPr>
            <w:tcW w:w="992" w:type="dxa"/>
            <w:tcBorders>
              <w:left w:val="single" w:sz="4" w:space="0" w:color="000000"/>
              <w:bottom w:val="single" w:sz="12" w:space="0" w:color="000000"/>
              <w:right w:val="single" w:sz="4" w:space="0" w:color="000000"/>
            </w:tcBorders>
            <w:vAlign w:val="center"/>
          </w:tcPr>
          <w:p w14:paraId="7225A064" w14:textId="77777777" w:rsidR="008C648D" w:rsidRPr="0001089F" w:rsidRDefault="008C648D" w:rsidP="00737AFE">
            <w:pPr>
              <w:spacing w:after="0" w:line="240" w:lineRule="auto"/>
              <w:jc w:val="center"/>
              <w:rPr>
                <w:rFonts w:ascii="Arial" w:hAnsi="Arial" w:cs="Arial"/>
                <w:bCs/>
                <w:sz w:val="16"/>
                <w:szCs w:val="16"/>
              </w:rPr>
            </w:pPr>
            <w:r>
              <w:rPr>
                <w:rFonts w:ascii="Arial" w:hAnsi="Arial" w:cs="Arial"/>
                <w:bCs/>
                <w:sz w:val="16"/>
                <w:szCs w:val="16"/>
              </w:rPr>
              <w:t>13,223</w:t>
            </w:r>
          </w:p>
        </w:tc>
        <w:tc>
          <w:tcPr>
            <w:tcW w:w="1072" w:type="dxa"/>
            <w:tcBorders>
              <w:left w:val="single" w:sz="4" w:space="0" w:color="000000"/>
              <w:bottom w:val="single" w:sz="12" w:space="0" w:color="000000"/>
              <w:right w:val="single" w:sz="12" w:space="0" w:color="000000"/>
            </w:tcBorders>
            <w:shd w:val="clear" w:color="auto" w:fill="FF0000"/>
            <w:vAlign w:val="center"/>
          </w:tcPr>
          <w:p w14:paraId="288716FD" w14:textId="77777777" w:rsidR="008C648D" w:rsidRPr="0001089F" w:rsidRDefault="008C648D" w:rsidP="00DD37A7">
            <w:pPr>
              <w:spacing w:after="0" w:line="240" w:lineRule="auto"/>
              <w:jc w:val="center"/>
              <w:rPr>
                <w:rFonts w:ascii="Arial" w:hAnsi="Arial" w:cs="Arial"/>
                <w:bCs/>
                <w:sz w:val="16"/>
                <w:szCs w:val="16"/>
              </w:rPr>
            </w:pPr>
            <w:r>
              <w:rPr>
                <w:rFonts w:ascii="Arial" w:hAnsi="Arial" w:cs="Arial"/>
                <w:bCs/>
                <w:sz w:val="16"/>
                <w:szCs w:val="16"/>
              </w:rPr>
              <w:t>7,700</w:t>
            </w:r>
          </w:p>
        </w:tc>
        <w:tc>
          <w:tcPr>
            <w:tcW w:w="1479" w:type="dxa"/>
            <w:tcBorders>
              <w:bottom w:val="single" w:sz="12" w:space="0" w:color="000000"/>
              <w:right w:val="single" w:sz="12" w:space="0" w:color="000000"/>
            </w:tcBorders>
            <w:vAlign w:val="center"/>
          </w:tcPr>
          <w:p w14:paraId="6189A8B9" w14:textId="77777777" w:rsidR="008C648D" w:rsidRPr="004A3AB6" w:rsidRDefault="008C648D" w:rsidP="00737AFE">
            <w:pPr>
              <w:spacing w:after="0" w:line="240" w:lineRule="auto"/>
              <w:jc w:val="center"/>
              <w:rPr>
                <w:rFonts w:ascii="Arial" w:hAnsi="Arial" w:cs="Arial"/>
                <w:bCs/>
                <w:sz w:val="16"/>
                <w:szCs w:val="16"/>
              </w:rPr>
            </w:pPr>
            <w:r w:rsidRPr="004A3AB6">
              <w:rPr>
                <w:rFonts w:ascii="Arial" w:hAnsi="Arial" w:cs="Arial"/>
                <w:bCs/>
                <w:sz w:val="16"/>
                <w:szCs w:val="16"/>
              </w:rPr>
              <w:t>84,000</w:t>
            </w:r>
          </w:p>
        </w:tc>
      </w:tr>
      <w:tr w:rsidR="008C648D" w:rsidRPr="00B87486" w14:paraId="2EFBE8CB" w14:textId="77777777" w:rsidTr="0023001E">
        <w:trPr>
          <w:trHeight w:val="312"/>
        </w:trPr>
        <w:tc>
          <w:tcPr>
            <w:tcW w:w="1134" w:type="dxa"/>
            <w:tcBorders>
              <w:top w:val="single" w:sz="12" w:space="0" w:color="000000"/>
              <w:left w:val="single" w:sz="12" w:space="0" w:color="000000"/>
              <w:bottom w:val="single" w:sz="12" w:space="0" w:color="000000"/>
            </w:tcBorders>
            <w:vAlign w:val="center"/>
          </w:tcPr>
          <w:p w14:paraId="0D6A4525" w14:textId="77777777" w:rsidR="008C648D" w:rsidRPr="005279C8" w:rsidRDefault="008C648D" w:rsidP="00F9496B">
            <w:pPr>
              <w:spacing w:after="0"/>
              <w:rPr>
                <w:rFonts w:ascii="Arial" w:hAnsi="Arial" w:cs="Arial"/>
                <w:sz w:val="16"/>
                <w:szCs w:val="16"/>
              </w:rPr>
            </w:pPr>
            <w:r w:rsidRPr="005279C8">
              <w:rPr>
                <w:rFonts w:ascii="Arial" w:hAnsi="Arial" w:cs="Arial"/>
                <w:sz w:val="16"/>
                <w:szCs w:val="16"/>
              </w:rPr>
              <w:t>Climate change</w:t>
            </w:r>
          </w:p>
        </w:tc>
        <w:tc>
          <w:tcPr>
            <w:tcW w:w="2694" w:type="dxa"/>
            <w:tcBorders>
              <w:top w:val="single" w:sz="12" w:space="0" w:color="000000"/>
              <w:bottom w:val="single" w:sz="12" w:space="0" w:color="000000"/>
            </w:tcBorders>
            <w:vAlign w:val="center"/>
          </w:tcPr>
          <w:p w14:paraId="40EB60B4" w14:textId="77777777" w:rsidR="008C648D" w:rsidRPr="0001089F" w:rsidRDefault="008C648D" w:rsidP="00F9496B">
            <w:pPr>
              <w:spacing w:after="0"/>
              <w:rPr>
                <w:rFonts w:ascii="Arial" w:hAnsi="Arial" w:cs="Arial"/>
                <w:sz w:val="16"/>
                <w:szCs w:val="16"/>
              </w:rPr>
            </w:pPr>
            <w:r w:rsidRPr="002F3F4B">
              <w:rPr>
                <w:rFonts w:ascii="Arial" w:hAnsi="Arial" w:cs="Arial"/>
                <w:sz w:val="16"/>
                <w:szCs w:val="16"/>
              </w:rPr>
              <w:t>Number of climate change vulnerability assessments</w:t>
            </w:r>
            <w:r w:rsidRPr="0001089F">
              <w:rPr>
                <w:rFonts w:ascii="Arial" w:hAnsi="Arial" w:cs="Arial"/>
                <w:sz w:val="16"/>
                <w:szCs w:val="16"/>
              </w:rPr>
              <w:t xml:space="preserve"> </w:t>
            </w:r>
          </w:p>
        </w:tc>
        <w:tc>
          <w:tcPr>
            <w:tcW w:w="993" w:type="dxa"/>
            <w:tcBorders>
              <w:top w:val="single" w:sz="12" w:space="0" w:color="000000"/>
              <w:bottom w:val="single" w:sz="12" w:space="0" w:color="000000"/>
            </w:tcBorders>
            <w:shd w:val="clear" w:color="auto" w:fill="BFBFBF"/>
            <w:vAlign w:val="center"/>
          </w:tcPr>
          <w:p w14:paraId="20E99F13" w14:textId="77777777" w:rsidR="008C648D" w:rsidRPr="0001089F" w:rsidDel="008A01B0" w:rsidRDefault="008C648D" w:rsidP="00737AFE">
            <w:pPr>
              <w:spacing w:after="0" w:line="240" w:lineRule="auto"/>
              <w:jc w:val="center"/>
              <w:rPr>
                <w:rFonts w:ascii="Arial" w:hAnsi="Arial" w:cs="Arial"/>
                <w:bCs/>
                <w:sz w:val="16"/>
                <w:szCs w:val="16"/>
              </w:rPr>
            </w:pPr>
            <w:r>
              <w:rPr>
                <w:rFonts w:ascii="Arial" w:hAnsi="Arial" w:cs="Arial"/>
                <w:bCs/>
                <w:sz w:val="16"/>
                <w:szCs w:val="16"/>
              </w:rPr>
              <w:t>0</w:t>
            </w:r>
          </w:p>
        </w:tc>
        <w:tc>
          <w:tcPr>
            <w:tcW w:w="850" w:type="dxa"/>
            <w:tcBorders>
              <w:top w:val="single" w:sz="12" w:space="0" w:color="000000"/>
              <w:left w:val="single" w:sz="4" w:space="0" w:color="000000"/>
              <w:bottom w:val="single" w:sz="12" w:space="0" w:color="000000"/>
              <w:right w:val="single" w:sz="4" w:space="0" w:color="000000"/>
            </w:tcBorders>
            <w:vAlign w:val="center"/>
          </w:tcPr>
          <w:p w14:paraId="3D8872E5" w14:textId="77777777" w:rsidR="008C648D" w:rsidRPr="00BB7E55" w:rsidRDefault="008C648D" w:rsidP="00737AFE">
            <w:pPr>
              <w:spacing w:after="0" w:line="240" w:lineRule="auto"/>
              <w:jc w:val="center"/>
              <w:rPr>
                <w:rFonts w:ascii="Arial" w:hAnsi="Arial" w:cs="Arial"/>
                <w:bCs/>
                <w:sz w:val="16"/>
                <w:szCs w:val="16"/>
                <w:highlight w:val="yellow"/>
              </w:rPr>
            </w:pPr>
            <w:r w:rsidRPr="00A47CA1">
              <w:rPr>
                <w:rFonts w:ascii="Arial" w:hAnsi="Arial" w:cs="Arial"/>
                <w:bCs/>
                <w:sz w:val="16"/>
                <w:szCs w:val="16"/>
              </w:rPr>
              <w:t>0</w:t>
            </w:r>
          </w:p>
        </w:tc>
        <w:tc>
          <w:tcPr>
            <w:tcW w:w="992" w:type="dxa"/>
            <w:tcBorders>
              <w:top w:val="single" w:sz="12" w:space="0" w:color="000000"/>
              <w:left w:val="single" w:sz="4" w:space="0" w:color="000000"/>
              <w:bottom w:val="single" w:sz="12" w:space="0" w:color="000000"/>
              <w:right w:val="single" w:sz="4" w:space="0" w:color="000000"/>
            </w:tcBorders>
            <w:vAlign w:val="center"/>
          </w:tcPr>
          <w:p w14:paraId="36AC909C" w14:textId="77777777" w:rsidR="008C648D" w:rsidRPr="0001089F" w:rsidRDefault="008C648D" w:rsidP="00737AFE">
            <w:pPr>
              <w:spacing w:after="0" w:line="240" w:lineRule="auto"/>
              <w:jc w:val="center"/>
              <w:rPr>
                <w:rFonts w:ascii="Arial" w:hAnsi="Arial" w:cs="Arial"/>
                <w:bCs/>
                <w:sz w:val="16"/>
                <w:szCs w:val="16"/>
              </w:rPr>
            </w:pPr>
            <w:r>
              <w:rPr>
                <w:rFonts w:ascii="Arial" w:hAnsi="Arial" w:cs="Arial"/>
                <w:bCs/>
                <w:sz w:val="16"/>
                <w:szCs w:val="16"/>
              </w:rPr>
              <w:t>2</w:t>
            </w:r>
          </w:p>
        </w:tc>
        <w:tc>
          <w:tcPr>
            <w:tcW w:w="1072" w:type="dxa"/>
            <w:tcBorders>
              <w:top w:val="single" w:sz="12" w:space="0" w:color="000000"/>
              <w:left w:val="single" w:sz="4" w:space="0" w:color="000000"/>
              <w:bottom w:val="single" w:sz="12" w:space="0" w:color="000000"/>
              <w:right w:val="single" w:sz="12" w:space="0" w:color="000000"/>
            </w:tcBorders>
            <w:shd w:val="clear" w:color="auto" w:fill="FFC000"/>
            <w:vAlign w:val="center"/>
          </w:tcPr>
          <w:p w14:paraId="15348D36" w14:textId="77777777" w:rsidR="008C648D" w:rsidRPr="00307206" w:rsidRDefault="008C648D" w:rsidP="00737AFE">
            <w:pPr>
              <w:spacing w:after="0" w:line="240" w:lineRule="auto"/>
              <w:jc w:val="center"/>
              <w:rPr>
                <w:rFonts w:ascii="Arial" w:hAnsi="Arial" w:cs="Arial"/>
                <w:bCs/>
                <w:sz w:val="16"/>
                <w:szCs w:val="16"/>
              </w:rPr>
            </w:pPr>
            <w:r>
              <w:rPr>
                <w:rFonts w:ascii="Arial" w:hAnsi="Arial" w:cs="Arial"/>
                <w:color w:val="000000"/>
                <w:sz w:val="16"/>
                <w:szCs w:val="16"/>
              </w:rPr>
              <w:t>0 - 2</w:t>
            </w:r>
          </w:p>
        </w:tc>
        <w:tc>
          <w:tcPr>
            <w:tcW w:w="1479" w:type="dxa"/>
            <w:tcBorders>
              <w:top w:val="single" w:sz="12" w:space="0" w:color="000000"/>
              <w:bottom w:val="single" w:sz="12" w:space="0" w:color="000000"/>
              <w:right w:val="single" w:sz="12" w:space="0" w:color="000000"/>
            </w:tcBorders>
            <w:vAlign w:val="center"/>
          </w:tcPr>
          <w:p w14:paraId="1C1A109C" w14:textId="77777777" w:rsidR="008C648D" w:rsidRPr="00BB7E55" w:rsidRDefault="008C648D" w:rsidP="00737AFE">
            <w:pPr>
              <w:spacing w:after="0" w:line="240" w:lineRule="auto"/>
              <w:jc w:val="center"/>
              <w:rPr>
                <w:rFonts w:ascii="Arial" w:hAnsi="Arial" w:cs="Arial"/>
                <w:bCs/>
                <w:sz w:val="16"/>
                <w:szCs w:val="16"/>
                <w:highlight w:val="yellow"/>
              </w:rPr>
            </w:pPr>
            <w:r w:rsidRPr="004A3AB6">
              <w:rPr>
                <w:rFonts w:ascii="Arial" w:hAnsi="Arial" w:cs="Arial"/>
                <w:bCs/>
                <w:sz w:val="16"/>
                <w:szCs w:val="16"/>
              </w:rPr>
              <w:t>122</w:t>
            </w:r>
          </w:p>
        </w:tc>
      </w:tr>
      <w:tr w:rsidR="008C648D" w:rsidRPr="007679C4" w14:paraId="54AAF7CA" w14:textId="77777777" w:rsidTr="0023001E">
        <w:trPr>
          <w:trHeight w:val="621"/>
        </w:trPr>
        <w:tc>
          <w:tcPr>
            <w:tcW w:w="1134" w:type="dxa"/>
            <w:tcBorders>
              <w:top w:val="single" w:sz="12" w:space="0" w:color="000000"/>
              <w:left w:val="single" w:sz="12" w:space="0" w:color="000000"/>
              <w:bottom w:val="single" w:sz="12" w:space="0" w:color="000000"/>
            </w:tcBorders>
            <w:vAlign w:val="center"/>
          </w:tcPr>
          <w:p w14:paraId="111E8F76" w14:textId="77777777" w:rsidR="008C648D" w:rsidRPr="005279C8" w:rsidRDefault="008C648D" w:rsidP="00F9496B">
            <w:pPr>
              <w:spacing w:after="0"/>
              <w:rPr>
                <w:rFonts w:ascii="Arial" w:hAnsi="Arial" w:cs="Arial"/>
                <w:sz w:val="16"/>
                <w:szCs w:val="16"/>
              </w:rPr>
            </w:pPr>
            <w:r>
              <w:rPr>
                <w:rFonts w:ascii="Arial" w:hAnsi="Arial" w:cs="Arial"/>
                <w:sz w:val="16"/>
                <w:szCs w:val="16"/>
              </w:rPr>
              <w:t>Long</w:t>
            </w:r>
            <w:r w:rsidRPr="00191E39">
              <w:rPr>
                <w:rFonts w:ascii="Arial" w:hAnsi="Arial" w:cs="Arial"/>
                <w:sz w:val="16"/>
                <w:szCs w:val="16"/>
              </w:rPr>
              <w:t xml:space="preserve"> term cost of service</w:t>
            </w:r>
          </w:p>
        </w:tc>
        <w:tc>
          <w:tcPr>
            <w:tcW w:w="2694" w:type="dxa"/>
            <w:tcBorders>
              <w:top w:val="single" w:sz="12" w:space="0" w:color="000000"/>
              <w:bottom w:val="single" w:sz="12" w:space="0" w:color="000000"/>
            </w:tcBorders>
            <w:vAlign w:val="center"/>
          </w:tcPr>
          <w:p w14:paraId="5C7261EE" w14:textId="77777777" w:rsidR="008C648D" w:rsidRPr="0001089F" w:rsidRDefault="008C648D" w:rsidP="00F9496B">
            <w:pPr>
              <w:spacing w:before="60" w:after="60"/>
              <w:rPr>
                <w:rFonts w:ascii="Arial" w:hAnsi="Arial" w:cs="Arial"/>
                <w:sz w:val="16"/>
                <w:szCs w:val="16"/>
              </w:rPr>
            </w:pPr>
            <w:r w:rsidRPr="002F3F4B">
              <w:rPr>
                <w:rFonts w:ascii="Arial" w:hAnsi="Arial" w:cs="Arial"/>
                <w:sz w:val="16"/>
                <w:szCs w:val="16"/>
              </w:rPr>
              <w:t>Improvements in renewable power and energy efficiency (</w:t>
            </w:r>
            <w:proofErr w:type="spellStart"/>
            <w:r w:rsidRPr="002F3F4B">
              <w:rPr>
                <w:rFonts w:ascii="Arial" w:hAnsi="Arial" w:cs="Arial"/>
                <w:sz w:val="16"/>
                <w:szCs w:val="16"/>
              </w:rPr>
              <w:t>GWh</w:t>
            </w:r>
            <w:proofErr w:type="spellEnd"/>
            <w:r w:rsidRPr="002F3F4B">
              <w:rPr>
                <w:rFonts w:ascii="Arial" w:hAnsi="Arial" w:cs="Arial"/>
                <w:sz w:val="16"/>
                <w:szCs w:val="16"/>
              </w:rPr>
              <w:t>)</w:t>
            </w:r>
            <w:r w:rsidRPr="0001089F">
              <w:rPr>
                <w:rFonts w:ascii="Arial" w:hAnsi="Arial" w:cs="Arial"/>
                <w:sz w:val="16"/>
                <w:szCs w:val="16"/>
              </w:rPr>
              <w:t xml:space="preserve"> </w:t>
            </w:r>
          </w:p>
        </w:tc>
        <w:tc>
          <w:tcPr>
            <w:tcW w:w="993" w:type="dxa"/>
            <w:tcBorders>
              <w:top w:val="single" w:sz="12" w:space="0" w:color="000000"/>
              <w:bottom w:val="single" w:sz="12" w:space="0" w:color="000000"/>
            </w:tcBorders>
            <w:shd w:val="clear" w:color="auto" w:fill="BFBFBF"/>
            <w:vAlign w:val="center"/>
          </w:tcPr>
          <w:p w14:paraId="2B23CCEA" w14:textId="77777777" w:rsidR="008C648D" w:rsidRPr="00F126A7" w:rsidDel="008A01B0" w:rsidRDefault="008C648D" w:rsidP="00737AFE">
            <w:pPr>
              <w:spacing w:after="0" w:line="240" w:lineRule="auto"/>
              <w:jc w:val="center"/>
              <w:rPr>
                <w:rFonts w:ascii="Arial" w:hAnsi="Arial" w:cs="Arial"/>
                <w:sz w:val="16"/>
                <w:szCs w:val="16"/>
              </w:rPr>
            </w:pPr>
            <w:r w:rsidRPr="005F239D">
              <w:rPr>
                <w:rFonts w:ascii="Arial" w:hAnsi="Arial" w:cs="Arial"/>
                <w:sz w:val="16"/>
                <w:szCs w:val="16"/>
              </w:rPr>
              <w:t>0.94</w:t>
            </w:r>
          </w:p>
        </w:tc>
        <w:tc>
          <w:tcPr>
            <w:tcW w:w="850" w:type="dxa"/>
            <w:tcBorders>
              <w:top w:val="single" w:sz="12" w:space="0" w:color="000000"/>
              <w:left w:val="single" w:sz="4" w:space="0" w:color="000000"/>
              <w:bottom w:val="single" w:sz="12" w:space="0" w:color="000000"/>
              <w:right w:val="single" w:sz="4" w:space="0" w:color="000000"/>
            </w:tcBorders>
            <w:vAlign w:val="center"/>
          </w:tcPr>
          <w:p w14:paraId="1779049A" w14:textId="77777777" w:rsidR="008C648D" w:rsidRPr="00FE15BA" w:rsidRDefault="008C648D" w:rsidP="00737AFE">
            <w:pPr>
              <w:spacing w:after="0" w:line="240" w:lineRule="auto"/>
              <w:jc w:val="center"/>
              <w:rPr>
                <w:rFonts w:ascii="Arial" w:hAnsi="Arial" w:cs="Arial"/>
                <w:sz w:val="16"/>
                <w:szCs w:val="16"/>
              </w:rPr>
            </w:pPr>
            <w:r w:rsidRPr="00FE15BA">
              <w:rPr>
                <w:rFonts w:ascii="Arial" w:hAnsi="Arial" w:cs="Arial"/>
                <w:sz w:val="16"/>
                <w:szCs w:val="16"/>
              </w:rPr>
              <w:t>0.94</w:t>
            </w:r>
          </w:p>
        </w:tc>
        <w:tc>
          <w:tcPr>
            <w:tcW w:w="992" w:type="dxa"/>
            <w:tcBorders>
              <w:top w:val="single" w:sz="12" w:space="0" w:color="000000"/>
              <w:left w:val="single" w:sz="4" w:space="0" w:color="000000"/>
              <w:bottom w:val="single" w:sz="12" w:space="0" w:color="000000"/>
              <w:right w:val="single" w:sz="4" w:space="0" w:color="000000"/>
            </w:tcBorders>
            <w:vAlign w:val="center"/>
          </w:tcPr>
          <w:p w14:paraId="18B24863" w14:textId="77777777" w:rsidR="008C648D" w:rsidRPr="00806FE7" w:rsidRDefault="008C648D" w:rsidP="00737AFE">
            <w:pPr>
              <w:spacing w:after="0" w:line="240" w:lineRule="auto"/>
              <w:jc w:val="center"/>
              <w:rPr>
                <w:rFonts w:ascii="Arial" w:hAnsi="Arial" w:cs="Arial"/>
                <w:sz w:val="16"/>
                <w:szCs w:val="16"/>
              </w:rPr>
            </w:pPr>
            <w:r w:rsidRPr="00806FE7">
              <w:rPr>
                <w:rFonts w:ascii="Arial" w:hAnsi="Arial" w:cs="Arial"/>
                <w:sz w:val="16"/>
                <w:szCs w:val="16"/>
              </w:rPr>
              <w:t>0</w:t>
            </w:r>
          </w:p>
        </w:tc>
        <w:tc>
          <w:tcPr>
            <w:tcW w:w="1072" w:type="dxa"/>
            <w:tcBorders>
              <w:top w:val="single" w:sz="12" w:space="0" w:color="000000"/>
              <w:left w:val="single" w:sz="4" w:space="0" w:color="000000"/>
              <w:bottom w:val="single" w:sz="12" w:space="0" w:color="000000"/>
              <w:right w:val="single" w:sz="12" w:space="0" w:color="000000"/>
            </w:tcBorders>
            <w:shd w:val="clear" w:color="auto" w:fill="99FF66"/>
            <w:vAlign w:val="center"/>
          </w:tcPr>
          <w:p w14:paraId="0A8FB989" w14:textId="77777777" w:rsidR="008C648D" w:rsidRPr="00806FE7" w:rsidRDefault="008C648D" w:rsidP="00737AFE">
            <w:pPr>
              <w:spacing w:after="0" w:line="240" w:lineRule="auto"/>
              <w:jc w:val="center"/>
              <w:rPr>
                <w:rFonts w:ascii="Arial" w:hAnsi="Arial" w:cs="Arial"/>
                <w:sz w:val="16"/>
                <w:szCs w:val="16"/>
              </w:rPr>
            </w:pPr>
            <w:r>
              <w:rPr>
                <w:rFonts w:ascii="Arial" w:hAnsi="Arial" w:cs="Arial"/>
                <w:sz w:val="16"/>
                <w:szCs w:val="16"/>
              </w:rPr>
              <w:t>0.94 – 1.74</w:t>
            </w:r>
          </w:p>
        </w:tc>
        <w:tc>
          <w:tcPr>
            <w:tcW w:w="1479" w:type="dxa"/>
            <w:tcBorders>
              <w:top w:val="single" w:sz="12" w:space="0" w:color="000000"/>
              <w:bottom w:val="single" w:sz="12" w:space="0" w:color="000000"/>
              <w:right w:val="single" w:sz="12" w:space="0" w:color="000000"/>
            </w:tcBorders>
            <w:vAlign w:val="center"/>
          </w:tcPr>
          <w:p w14:paraId="46CD7FC1" w14:textId="77777777" w:rsidR="008C648D" w:rsidRPr="00FE15BA" w:rsidRDefault="008C648D" w:rsidP="00737AFE">
            <w:pPr>
              <w:spacing w:after="0" w:line="240" w:lineRule="auto"/>
              <w:jc w:val="center"/>
              <w:rPr>
                <w:rFonts w:ascii="Arial" w:hAnsi="Arial" w:cs="Arial"/>
                <w:sz w:val="16"/>
                <w:szCs w:val="16"/>
              </w:rPr>
            </w:pPr>
            <w:r w:rsidRPr="00FE15BA">
              <w:rPr>
                <w:rFonts w:ascii="Arial" w:hAnsi="Arial" w:cs="Arial"/>
                <w:sz w:val="16"/>
                <w:szCs w:val="16"/>
              </w:rPr>
              <w:t>25.00</w:t>
            </w:r>
          </w:p>
        </w:tc>
      </w:tr>
    </w:tbl>
    <w:p w14:paraId="3DF0D0B5" w14:textId="77777777" w:rsidR="00BF50E9" w:rsidRPr="00585148" w:rsidRDefault="00BF50E9" w:rsidP="00F83C8C">
      <w:pPr>
        <w:spacing w:after="0"/>
        <w:jc w:val="both"/>
        <w:rPr>
          <w:rFonts w:ascii="Arial" w:hAnsi="Arial" w:cs="Arial"/>
          <w:sz w:val="8"/>
          <w:szCs w:val="8"/>
        </w:rPr>
      </w:pPr>
    </w:p>
    <w:p w14:paraId="5A837ECD" w14:textId="77777777" w:rsidR="00BF50E9" w:rsidRPr="001C5506" w:rsidRDefault="00BF50E9" w:rsidP="001C5506">
      <w:pPr>
        <w:spacing w:after="0"/>
        <w:jc w:val="both"/>
        <w:rPr>
          <w:rFonts w:ascii="Arial" w:hAnsi="Arial" w:cs="Arial"/>
          <w:sz w:val="20"/>
          <w:szCs w:val="20"/>
        </w:rPr>
      </w:pPr>
      <w:r w:rsidRPr="001C5506">
        <w:rPr>
          <w:rFonts w:ascii="Arial" w:hAnsi="Arial" w:cs="Arial"/>
          <w:sz w:val="20"/>
          <w:szCs w:val="20"/>
        </w:rPr>
        <w:t>[Note the following programme areas are not included in the table and are subject to annual reports on delivery: Number of developer constructed assets adopted; Relocation of services due to transport infrastructure projects; Customer Contact management and communications; Research and Innovation].</w:t>
      </w:r>
    </w:p>
    <w:p w14:paraId="01A47085" w14:textId="77777777" w:rsidR="00DD6537" w:rsidRPr="001C5506" w:rsidRDefault="00DD6537" w:rsidP="001C5506">
      <w:pPr>
        <w:spacing w:after="0"/>
        <w:jc w:val="both"/>
        <w:rPr>
          <w:rFonts w:ascii="Arial" w:hAnsi="Arial" w:cs="Arial"/>
        </w:rPr>
      </w:pPr>
    </w:p>
    <w:p w14:paraId="1C7D3CF7" w14:textId="77777777" w:rsidR="00C03AE6" w:rsidRPr="00E14006" w:rsidRDefault="00C03AE6" w:rsidP="00E14006">
      <w:pPr>
        <w:spacing w:after="0"/>
        <w:jc w:val="both"/>
        <w:rPr>
          <w:rFonts w:ascii="Arial" w:hAnsi="Arial" w:cs="Arial"/>
          <w:b/>
        </w:rPr>
      </w:pPr>
      <w:r w:rsidRPr="00A2739A">
        <w:rPr>
          <w:rFonts w:ascii="Arial" w:hAnsi="Arial" w:cs="Arial"/>
          <w:b/>
          <w:u w:val="single"/>
        </w:rPr>
        <w:t>Programme specific explanations</w:t>
      </w:r>
      <w:r w:rsidRPr="00E14006">
        <w:rPr>
          <w:rFonts w:ascii="Arial" w:hAnsi="Arial" w:cs="Arial"/>
          <w:b/>
        </w:rPr>
        <w:t>:</w:t>
      </w:r>
    </w:p>
    <w:p w14:paraId="0B988E60" w14:textId="77777777" w:rsidR="00C03AE6" w:rsidRPr="00D96D4B" w:rsidRDefault="00C03AE6">
      <w:pPr>
        <w:spacing w:after="0"/>
        <w:jc w:val="both"/>
        <w:rPr>
          <w:sz w:val="16"/>
          <w:szCs w:val="16"/>
        </w:rPr>
      </w:pPr>
    </w:p>
    <w:p w14:paraId="769AB228" w14:textId="77777777" w:rsidR="00C03AE6" w:rsidRPr="00F73C15" w:rsidRDefault="00C03AE6">
      <w:pPr>
        <w:spacing w:after="0"/>
        <w:jc w:val="both"/>
        <w:rPr>
          <w:rFonts w:ascii="Arial" w:hAnsi="Arial" w:cs="Arial"/>
          <w:b/>
        </w:rPr>
      </w:pPr>
      <w:r w:rsidRPr="00F73C15">
        <w:rPr>
          <w:rFonts w:ascii="Arial" w:hAnsi="Arial" w:cs="Arial"/>
          <w:b/>
        </w:rPr>
        <w:t>Number of wholesale meter</w:t>
      </w:r>
      <w:r w:rsidR="00E17D19">
        <w:rPr>
          <w:rFonts w:ascii="Arial" w:hAnsi="Arial" w:cs="Arial"/>
          <w:b/>
        </w:rPr>
        <w:t>s</w:t>
      </w:r>
    </w:p>
    <w:p w14:paraId="27B19059" w14:textId="77777777" w:rsidR="00D9275F" w:rsidRDefault="00D9275F" w:rsidP="00D9275F">
      <w:pPr>
        <w:spacing w:after="0"/>
        <w:jc w:val="both"/>
        <w:rPr>
          <w:rFonts w:ascii="Arial" w:hAnsi="Arial" w:cs="Arial"/>
        </w:rPr>
      </w:pPr>
      <w:r w:rsidRPr="00A53FE8">
        <w:rPr>
          <w:rFonts w:ascii="Arial" w:hAnsi="Arial" w:cs="Arial"/>
        </w:rPr>
        <w:t xml:space="preserve">Scottish Water assumed in its Delivery Plan that the wholesale metering programme would be delivered evenly over the 6 year period 2015-21. </w:t>
      </w:r>
      <w:r>
        <w:rPr>
          <w:rFonts w:ascii="Arial" w:hAnsi="Arial" w:cs="Arial"/>
        </w:rPr>
        <w:t xml:space="preserve"> </w:t>
      </w:r>
      <w:r w:rsidRPr="00A53FE8">
        <w:rPr>
          <w:rFonts w:ascii="Arial" w:hAnsi="Arial" w:cs="Arial"/>
        </w:rPr>
        <w:t xml:space="preserve">With the contractors in place, Scottish Water now has a clearer view of how it intends to achieve the programme and has revised its delivery profile over the 2015-21 period. </w:t>
      </w:r>
      <w:r>
        <w:rPr>
          <w:rFonts w:ascii="Arial" w:hAnsi="Arial" w:cs="Arial"/>
        </w:rPr>
        <w:t xml:space="preserve"> </w:t>
      </w:r>
      <w:r w:rsidRPr="00A53FE8">
        <w:rPr>
          <w:rFonts w:ascii="Arial" w:hAnsi="Arial" w:cs="Arial"/>
        </w:rPr>
        <w:t xml:space="preserve">It will present this revised profile as part of its Delivery Plan refresh, with </w:t>
      </w:r>
      <w:r w:rsidR="0070576B">
        <w:rPr>
          <w:rFonts w:ascii="Arial" w:hAnsi="Arial" w:cs="Arial"/>
        </w:rPr>
        <w:t>7,700</w:t>
      </w:r>
      <w:r w:rsidRPr="00A53FE8">
        <w:rPr>
          <w:rFonts w:ascii="Arial" w:hAnsi="Arial" w:cs="Arial"/>
        </w:rPr>
        <w:t xml:space="preserve"> being t</w:t>
      </w:r>
      <w:r>
        <w:rPr>
          <w:rFonts w:ascii="Arial" w:hAnsi="Arial" w:cs="Arial"/>
        </w:rPr>
        <w:t xml:space="preserve">he </w:t>
      </w:r>
      <w:r w:rsidR="00072A7B">
        <w:rPr>
          <w:rFonts w:ascii="Arial" w:hAnsi="Arial" w:cs="Arial"/>
        </w:rPr>
        <w:t xml:space="preserve">revised </w:t>
      </w:r>
      <w:r>
        <w:rPr>
          <w:rFonts w:ascii="Arial" w:hAnsi="Arial" w:cs="Arial"/>
        </w:rPr>
        <w:t>year-end target for 2015-16</w:t>
      </w:r>
      <w:r w:rsidR="00C127CB">
        <w:rPr>
          <w:rFonts w:ascii="Arial" w:hAnsi="Arial" w:cs="Arial"/>
        </w:rPr>
        <w:t>.</w:t>
      </w:r>
      <w:r w:rsidR="00084FFF">
        <w:rPr>
          <w:rFonts w:ascii="Arial" w:hAnsi="Arial" w:cs="Arial"/>
        </w:rPr>
        <w:t xml:space="preserve">  A</w:t>
      </w:r>
      <w:r w:rsidR="0070576B">
        <w:rPr>
          <w:rFonts w:ascii="Arial" w:hAnsi="Arial" w:cs="Arial"/>
        </w:rPr>
        <w:t xml:space="preserve">n element of the programme is demand driven and </w:t>
      </w:r>
      <w:r w:rsidR="00072A7B">
        <w:rPr>
          <w:rFonts w:ascii="Arial" w:hAnsi="Arial" w:cs="Arial"/>
        </w:rPr>
        <w:t>this element</w:t>
      </w:r>
      <w:r w:rsidR="0070576B">
        <w:rPr>
          <w:rFonts w:ascii="Arial" w:hAnsi="Arial" w:cs="Arial"/>
        </w:rPr>
        <w:t xml:space="preserve"> </w:t>
      </w:r>
      <w:r w:rsidR="00084FFF">
        <w:rPr>
          <w:rFonts w:ascii="Arial" w:hAnsi="Arial" w:cs="Arial"/>
        </w:rPr>
        <w:t>has decreased in comparison to forecast for 2015</w:t>
      </w:r>
      <w:r w:rsidR="004D0DEB">
        <w:rPr>
          <w:rFonts w:ascii="Arial" w:hAnsi="Arial" w:cs="Arial"/>
        </w:rPr>
        <w:t>/</w:t>
      </w:r>
      <w:r w:rsidR="00084FFF">
        <w:rPr>
          <w:rFonts w:ascii="Arial" w:hAnsi="Arial" w:cs="Arial"/>
        </w:rPr>
        <w:t>16</w:t>
      </w:r>
      <w:r w:rsidR="0070576B">
        <w:rPr>
          <w:rFonts w:ascii="Arial" w:hAnsi="Arial" w:cs="Arial"/>
        </w:rPr>
        <w:t>.</w:t>
      </w:r>
      <w:r w:rsidR="00084FFF">
        <w:rPr>
          <w:rFonts w:ascii="Arial" w:hAnsi="Arial" w:cs="Arial"/>
        </w:rPr>
        <w:t xml:space="preserve">  </w:t>
      </w:r>
    </w:p>
    <w:p w14:paraId="61FB601A" w14:textId="77777777" w:rsidR="00316122" w:rsidRDefault="00316122">
      <w:pPr>
        <w:spacing w:after="0" w:line="240" w:lineRule="auto"/>
        <w:rPr>
          <w:rFonts w:ascii="Arial" w:hAnsi="Arial" w:cs="Arial"/>
          <w:b/>
        </w:rPr>
      </w:pPr>
    </w:p>
    <w:p w14:paraId="03A2A103" w14:textId="77777777" w:rsidR="00C03AE6" w:rsidRPr="00F73C15" w:rsidRDefault="00C03AE6" w:rsidP="00FE15BA">
      <w:pPr>
        <w:spacing w:after="0" w:line="240" w:lineRule="auto"/>
        <w:rPr>
          <w:rFonts w:ascii="Arial" w:hAnsi="Arial" w:cs="Arial"/>
          <w:b/>
        </w:rPr>
      </w:pPr>
      <w:r w:rsidRPr="00F73C15">
        <w:rPr>
          <w:rFonts w:ascii="Arial" w:hAnsi="Arial" w:cs="Arial"/>
          <w:b/>
        </w:rPr>
        <w:t>Number of climate change vulnerability assessments</w:t>
      </w:r>
    </w:p>
    <w:p w14:paraId="3F2BBC5B" w14:textId="6DB9843D" w:rsidR="00AC0A6F" w:rsidRDefault="0013409C">
      <w:pPr>
        <w:spacing w:after="0"/>
        <w:jc w:val="both"/>
        <w:rPr>
          <w:rFonts w:ascii="Arial" w:hAnsi="Arial" w:cs="Arial"/>
        </w:rPr>
      </w:pPr>
      <w:r w:rsidRPr="001C5506">
        <w:rPr>
          <w:rFonts w:ascii="Arial" w:hAnsi="Arial" w:cs="Arial"/>
        </w:rPr>
        <w:t>This programme contains both the number of vulnerability assessments and monitoring improvements to support climate change mitigation and reduction</w:t>
      </w:r>
      <w:r w:rsidR="00D35CDA" w:rsidRPr="001C5506">
        <w:rPr>
          <w:rFonts w:ascii="Arial" w:hAnsi="Arial" w:cs="Arial"/>
        </w:rPr>
        <w:t xml:space="preserve">. </w:t>
      </w:r>
      <w:r w:rsidRPr="001C5506">
        <w:rPr>
          <w:rFonts w:ascii="Arial" w:hAnsi="Arial" w:cs="Arial"/>
        </w:rPr>
        <w:t xml:space="preserve"> </w:t>
      </w:r>
      <w:r w:rsidR="000E3B8B" w:rsidRPr="001C5506">
        <w:rPr>
          <w:rFonts w:ascii="Arial" w:hAnsi="Arial" w:cs="Arial"/>
        </w:rPr>
        <w:t>Scottish Water</w:t>
      </w:r>
      <w:r w:rsidRPr="001C5506">
        <w:rPr>
          <w:rFonts w:ascii="Arial" w:hAnsi="Arial" w:cs="Arial"/>
        </w:rPr>
        <w:t xml:space="preserve"> will deliver 1</w:t>
      </w:r>
      <w:r w:rsidR="00533D6E" w:rsidRPr="001C5506">
        <w:rPr>
          <w:rFonts w:ascii="Arial" w:hAnsi="Arial" w:cs="Arial"/>
        </w:rPr>
        <w:t>22</w:t>
      </w:r>
      <w:r w:rsidRPr="001C5506">
        <w:rPr>
          <w:rFonts w:ascii="Arial" w:hAnsi="Arial" w:cs="Arial"/>
        </w:rPr>
        <w:t xml:space="preserve"> outputs in this programme, with</w:t>
      </w:r>
      <w:r w:rsidR="00402F5F" w:rsidRPr="001C5506">
        <w:rPr>
          <w:rFonts w:ascii="Arial" w:hAnsi="Arial" w:cs="Arial"/>
        </w:rPr>
        <w:t xml:space="preserve"> </w:t>
      </w:r>
      <w:r w:rsidR="0070576B">
        <w:rPr>
          <w:rFonts w:ascii="Arial" w:hAnsi="Arial" w:cs="Arial"/>
        </w:rPr>
        <w:t xml:space="preserve">up to </w:t>
      </w:r>
      <w:r w:rsidR="00402F5F" w:rsidRPr="001C5506">
        <w:rPr>
          <w:rFonts w:ascii="Arial" w:hAnsi="Arial" w:cs="Arial"/>
        </w:rPr>
        <w:t>2</w:t>
      </w:r>
      <w:r w:rsidR="0063728A" w:rsidRPr="001C5506">
        <w:rPr>
          <w:rFonts w:ascii="Arial" w:hAnsi="Arial" w:cs="Arial"/>
        </w:rPr>
        <w:t xml:space="preserve"> </w:t>
      </w:r>
      <w:r w:rsidRPr="001C5506">
        <w:rPr>
          <w:rFonts w:ascii="Arial" w:hAnsi="Arial" w:cs="Arial"/>
        </w:rPr>
        <w:t>output</w:t>
      </w:r>
      <w:r w:rsidR="0063728A" w:rsidRPr="001C5506">
        <w:rPr>
          <w:rFonts w:ascii="Arial" w:hAnsi="Arial" w:cs="Arial"/>
        </w:rPr>
        <w:t>s</w:t>
      </w:r>
      <w:r w:rsidR="004A3AB6">
        <w:rPr>
          <w:rFonts w:ascii="Arial" w:hAnsi="Arial" w:cs="Arial"/>
        </w:rPr>
        <w:t xml:space="preserve"> </w:t>
      </w:r>
      <w:r w:rsidR="0070576B">
        <w:rPr>
          <w:rFonts w:ascii="Arial" w:hAnsi="Arial" w:cs="Arial"/>
        </w:rPr>
        <w:t xml:space="preserve">forecast </w:t>
      </w:r>
      <w:r w:rsidRPr="001C5506">
        <w:rPr>
          <w:rFonts w:ascii="Arial" w:hAnsi="Arial" w:cs="Arial"/>
        </w:rPr>
        <w:t>by March</w:t>
      </w:r>
      <w:r w:rsidR="004A3AB6">
        <w:rPr>
          <w:rFonts w:ascii="Arial" w:hAnsi="Arial" w:cs="Arial"/>
        </w:rPr>
        <w:t xml:space="preserve"> 2016</w:t>
      </w:r>
      <w:r w:rsidRPr="00622299">
        <w:rPr>
          <w:rFonts w:ascii="Arial" w:hAnsi="Arial" w:cs="Arial"/>
        </w:rPr>
        <w:t>.</w:t>
      </w:r>
      <w:r w:rsidRPr="001C5506">
        <w:rPr>
          <w:rFonts w:ascii="Arial" w:hAnsi="Arial" w:cs="Arial"/>
        </w:rPr>
        <w:t xml:space="preserve"> </w:t>
      </w:r>
      <w:r w:rsidR="00B15FDB" w:rsidRPr="001C5506">
        <w:rPr>
          <w:rFonts w:ascii="Arial" w:hAnsi="Arial" w:cs="Arial"/>
        </w:rPr>
        <w:t xml:space="preserve"> </w:t>
      </w:r>
    </w:p>
    <w:p w14:paraId="75D194B0" w14:textId="77777777" w:rsidR="00FE3A80" w:rsidRDefault="00FE3A80">
      <w:pPr>
        <w:spacing w:after="0" w:line="240" w:lineRule="auto"/>
        <w:rPr>
          <w:rFonts w:ascii="Arial" w:hAnsi="Arial" w:cs="Arial"/>
          <w:b/>
        </w:rPr>
      </w:pPr>
    </w:p>
    <w:p w14:paraId="044211DC" w14:textId="77777777" w:rsidR="00D867A4" w:rsidRDefault="00EA35FC" w:rsidP="000D031D">
      <w:pPr>
        <w:spacing w:after="0" w:line="240" w:lineRule="auto"/>
      </w:pPr>
      <w:r>
        <w:rPr>
          <w:rFonts w:ascii="Arial" w:hAnsi="Arial" w:cs="Arial"/>
          <w:b/>
        </w:rPr>
        <w:t xml:space="preserve">5.  </w:t>
      </w:r>
      <w:r w:rsidR="00BF50E9" w:rsidRPr="0001089F">
        <w:rPr>
          <w:rFonts w:ascii="Arial" w:hAnsi="Arial" w:cs="Arial"/>
          <w:b/>
        </w:rPr>
        <w:t xml:space="preserve">Quarterly progress on </w:t>
      </w:r>
      <w:r w:rsidR="00BF50E9" w:rsidRPr="0001089F">
        <w:rPr>
          <w:rFonts w:ascii="Arial" w:hAnsi="Arial" w:cs="Arial"/>
          <w:b/>
          <w:kern w:val="24"/>
        </w:rPr>
        <w:t xml:space="preserve">projects </w:t>
      </w:r>
      <w:r w:rsidR="00425E07">
        <w:rPr>
          <w:rFonts w:ascii="Arial" w:hAnsi="Arial" w:cs="Arial"/>
          <w:b/>
          <w:kern w:val="24"/>
        </w:rPr>
        <w:t xml:space="preserve">due but </w:t>
      </w:r>
      <w:r w:rsidR="00BF50E9" w:rsidRPr="0001089F">
        <w:rPr>
          <w:rFonts w:ascii="Arial" w:hAnsi="Arial" w:cs="Arial"/>
          <w:b/>
          <w:kern w:val="24"/>
        </w:rPr>
        <w:t xml:space="preserve">not delivered by 31 March 2015 </w:t>
      </w:r>
    </w:p>
    <w:p w14:paraId="75B3EA61" w14:textId="77777777" w:rsidR="002C5B3B" w:rsidRPr="0001089F" w:rsidRDefault="002C5B3B" w:rsidP="00D867A4">
      <w:pPr>
        <w:pStyle w:val="BodyText2"/>
        <w:spacing w:after="0"/>
        <w:jc w:val="both"/>
        <w:rPr>
          <w:rFonts w:ascii="Arial" w:hAnsi="Arial" w:cs="Arial"/>
          <w:kern w:val="24"/>
        </w:rPr>
      </w:pPr>
    </w:p>
    <w:tbl>
      <w:tblPr>
        <w:tblW w:w="8930" w:type="dxa"/>
        <w:tblInd w:w="108" w:type="dxa"/>
        <w:tblLayout w:type="fixed"/>
        <w:tblLook w:val="0000" w:firstRow="0" w:lastRow="0" w:firstColumn="0" w:lastColumn="0" w:noHBand="0" w:noVBand="0"/>
      </w:tblPr>
      <w:tblGrid>
        <w:gridCol w:w="1276"/>
        <w:gridCol w:w="850"/>
        <w:gridCol w:w="851"/>
        <w:gridCol w:w="850"/>
        <w:gridCol w:w="851"/>
        <w:gridCol w:w="850"/>
        <w:gridCol w:w="851"/>
        <w:gridCol w:w="850"/>
        <w:gridCol w:w="851"/>
        <w:gridCol w:w="850"/>
      </w:tblGrid>
      <w:tr w:rsidR="00A67D6A" w:rsidRPr="0067189C" w14:paraId="053D2BA3" w14:textId="77777777" w:rsidTr="00CC18E4">
        <w:trPr>
          <w:trHeight w:val="250"/>
        </w:trPr>
        <w:tc>
          <w:tcPr>
            <w:tcW w:w="1276" w:type="dxa"/>
            <w:tcBorders>
              <w:top w:val="single" w:sz="4" w:space="0" w:color="auto"/>
              <w:left w:val="single" w:sz="4" w:space="0" w:color="auto"/>
              <w:bottom w:val="single" w:sz="4" w:space="0" w:color="auto"/>
              <w:right w:val="single" w:sz="4" w:space="0" w:color="auto"/>
            </w:tcBorders>
            <w:shd w:val="clear" w:color="auto" w:fill="E0EDF9"/>
            <w:vAlign w:val="center"/>
          </w:tcPr>
          <w:p w14:paraId="123373B1" w14:textId="77777777" w:rsidR="00A67D6A" w:rsidRPr="00E85A73" w:rsidRDefault="00A67D6A" w:rsidP="00DD49A7">
            <w:pPr>
              <w:pStyle w:val="FDBPTableText"/>
              <w:rPr>
                <w:b/>
                <w:sz w:val="20"/>
                <w:szCs w:val="20"/>
              </w:rPr>
            </w:pPr>
          </w:p>
        </w:tc>
        <w:tc>
          <w:tcPr>
            <w:tcW w:w="850" w:type="dxa"/>
            <w:tcBorders>
              <w:top w:val="single" w:sz="4" w:space="0" w:color="auto"/>
              <w:left w:val="nil"/>
              <w:bottom w:val="single" w:sz="4" w:space="0" w:color="auto"/>
              <w:right w:val="single" w:sz="4" w:space="0" w:color="auto"/>
            </w:tcBorders>
            <w:shd w:val="clear" w:color="auto" w:fill="FFFF99"/>
          </w:tcPr>
          <w:p w14:paraId="5AEA08DE" w14:textId="77777777" w:rsidR="00A67D6A" w:rsidRPr="00E85A73" w:rsidDel="00532C50" w:rsidRDefault="00A67D6A" w:rsidP="00DD49A7">
            <w:pPr>
              <w:pStyle w:val="FDBPTableText"/>
              <w:jc w:val="center"/>
              <w:rPr>
                <w:b/>
                <w:sz w:val="20"/>
                <w:szCs w:val="20"/>
              </w:rPr>
            </w:pPr>
            <w:r>
              <w:rPr>
                <w:b/>
                <w:sz w:val="20"/>
                <w:szCs w:val="20"/>
              </w:rPr>
              <w:t>Q1</w:t>
            </w:r>
            <w:r>
              <w:rPr>
                <w:b/>
                <w:sz w:val="20"/>
                <w:szCs w:val="20"/>
              </w:rPr>
              <w:br/>
              <w:t>2015/16</w:t>
            </w:r>
          </w:p>
        </w:tc>
        <w:tc>
          <w:tcPr>
            <w:tcW w:w="851" w:type="dxa"/>
            <w:tcBorders>
              <w:top w:val="single" w:sz="4" w:space="0" w:color="auto"/>
              <w:left w:val="single" w:sz="4" w:space="0" w:color="auto"/>
              <w:bottom w:val="single" w:sz="4" w:space="0" w:color="auto"/>
              <w:right w:val="single" w:sz="4" w:space="0" w:color="auto"/>
            </w:tcBorders>
            <w:shd w:val="clear" w:color="auto" w:fill="FFFF99"/>
          </w:tcPr>
          <w:p w14:paraId="5F6315FF" w14:textId="77777777" w:rsidR="00A67D6A" w:rsidRPr="00E85A73" w:rsidDel="00532C50" w:rsidRDefault="00A67D6A" w:rsidP="00DD49A7">
            <w:pPr>
              <w:pStyle w:val="FDBPTableText"/>
              <w:jc w:val="center"/>
              <w:rPr>
                <w:b/>
                <w:sz w:val="20"/>
                <w:szCs w:val="20"/>
              </w:rPr>
            </w:pPr>
            <w:proofErr w:type="spellStart"/>
            <w:r>
              <w:rPr>
                <w:b/>
                <w:sz w:val="20"/>
                <w:szCs w:val="20"/>
              </w:rPr>
              <w:t>Q2</w:t>
            </w:r>
            <w:proofErr w:type="spellEnd"/>
            <w:r>
              <w:rPr>
                <w:b/>
                <w:sz w:val="20"/>
                <w:szCs w:val="20"/>
              </w:rPr>
              <w:br/>
              <w:t>2015/16</w:t>
            </w:r>
          </w:p>
        </w:tc>
        <w:tc>
          <w:tcPr>
            <w:tcW w:w="850" w:type="dxa"/>
            <w:tcBorders>
              <w:top w:val="single" w:sz="4" w:space="0" w:color="auto"/>
              <w:left w:val="single" w:sz="4" w:space="0" w:color="auto"/>
              <w:bottom w:val="single" w:sz="4" w:space="0" w:color="auto"/>
              <w:right w:val="single" w:sz="4" w:space="0" w:color="auto"/>
            </w:tcBorders>
            <w:shd w:val="clear" w:color="auto" w:fill="FFFF99"/>
          </w:tcPr>
          <w:p w14:paraId="774FC04F" w14:textId="77777777" w:rsidR="00A67D6A" w:rsidRPr="00E85A73" w:rsidDel="00532C50" w:rsidRDefault="00A67D6A" w:rsidP="00DD49A7">
            <w:pPr>
              <w:pStyle w:val="FDBPTableText"/>
              <w:jc w:val="center"/>
              <w:rPr>
                <w:b/>
                <w:sz w:val="20"/>
                <w:szCs w:val="20"/>
              </w:rPr>
            </w:pPr>
            <w:r>
              <w:rPr>
                <w:b/>
                <w:sz w:val="20"/>
                <w:szCs w:val="20"/>
              </w:rPr>
              <w:t>Q3</w:t>
            </w:r>
            <w:r>
              <w:rPr>
                <w:b/>
                <w:sz w:val="20"/>
                <w:szCs w:val="20"/>
              </w:rPr>
              <w:br/>
              <w:t>2015/16</w:t>
            </w:r>
          </w:p>
        </w:tc>
        <w:tc>
          <w:tcPr>
            <w:tcW w:w="851" w:type="dxa"/>
            <w:tcBorders>
              <w:top w:val="single" w:sz="4" w:space="0" w:color="auto"/>
              <w:left w:val="single" w:sz="4" w:space="0" w:color="auto"/>
              <w:bottom w:val="single" w:sz="4" w:space="0" w:color="auto"/>
              <w:right w:val="single" w:sz="4" w:space="0" w:color="auto"/>
            </w:tcBorders>
            <w:shd w:val="clear" w:color="auto" w:fill="FFFF99"/>
          </w:tcPr>
          <w:p w14:paraId="49918D63" w14:textId="77777777" w:rsidR="00A67D6A" w:rsidRPr="00E85A73" w:rsidDel="00532C50" w:rsidRDefault="00A67D6A" w:rsidP="00DD49A7">
            <w:pPr>
              <w:pStyle w:val="FDBPTableText"/>
              <w:jc w:val="center"/>
              <w:rPr>
                <w:b/>
                <w:sz w:val="20"/>
                <w:szCs w:val="20"/>
              </w:rPr>
            </w:pPr>
            <w:proofErr w:type="spellStart"/>
            <w:r>
              <w:rPr>
                <w:b/>
                <w:sz w:val="20"/>
                <w:szCs w:val="20"/>
              </w:rPr>
              <w:t>Q4</w:t>
            </w:r>
            <w:proofErr w:type="spellEnd"/>
            <w:r>
              <w:rPr>
                <w:b/>
                <w:sz w:val="20"/>
                <w:szCs w:val="20"/>
              </w:rPr>
              <w:br/>
              <w:t>2015/16</w:t>
            </w:r>
          </w:p>
        </w:tc>
        <w:tc>
          <w:tcPr>
            <w:tcW w:w="850" w:type="dxa"/>
            <w:tcBorders>
              <w:top w:val="single" w:sz="4" w:space="0" w:color="auto"/>
              <w:left w:val="single" w:sz="4" w:space="0" w:color="auto"/>
              <w:bottom w:val="single" w:sz="4" w:space="0" w:color="auto"/>
              <w:right w:val="single" w:sz="4" w:space="0" w:color="auto"/>
            </w:tcBorders>
            <w:shd w:val="clear" w:color="auto" w:fill="E0EDF9"/>
            <w:vAlign w:val="center"/>
          </w:tcPr>
          <w:p w14:paraId="6FE9DE03" w14:textId="77777777" w:rsidR="00A67D6A" w:rsidRPr="00E85A73" w:rsidDel="00532C50" w:rsidRDefault="00A67D6A" w:rsidP="009629B0">
            <w:pPr>
              <w:pStyle w:val="FDBPTableText"/>
              <w:jc w:val="center"/>
              <w:rPr>
                <w:b/>
                <w:sz w:val="20"/>
                <w:szCs w:val="20"/>
              </w:rPr>
            </w:pPr>
            <w:r>
              <w:rPr>
                <w:b/>
                <w:sz w:val="20"/>
                <w:szCs w:val="20"/>
              </w:rPr>
              <w:t>2016/17</w:t>
            </w:r>
          </w:p>
        </w:tc>
        <w:tc>
          <w:tcPr>
            <w:tcW w:w="851" w:type="dxa"/>
            <w:tcBorders>
              <w:top w:val="single" w:sz="4" w:space="0" w:color="auto"/>
              <w:left w:val="single" w:sz="4" w:space="0" w:color="auto"/>
              <w:bottom w:val="single" w:sz="4" w:space="0" w:color="auto"/>
              <w:right w:val="single" w:sz="4" w:space="0" w:color="auto"/>
            </w:tcBorders>
            <w:shd w:val="clear" w:color="auto" w:fill="E0EDF9"/>
            <w:vAlign w:val="center"/>
          </w:tcPr>
          <w:p w14:paraId="79F70B21" w14:textId="77777777" w:rsidR="00A67D6A" w:rsidRPr="00E85A73" w:rsidDel="00532C50" w:rsidRDefault="00A67D6A">
            <w:pPr>
              <w:pStyle w:val="FDBPTableText"/>
              <w:jc w:val="center"/>
              <w:rPr>
                <w:b/>
                <w:sz w:val="20"/>
                <w:szCs w:val="20"/>
              </w:rPr>
            </w:pPr>
            <w:r>
              <w:rPr>
                <w:b/>
                <w:sz w:val="20"/>
                <w:szCs w:val="20"/>
              </w:rPr>
              <w:t>2017/18</w:t>
            </w:r>
          </w:p>
        </w:tc>
        <w:tc>
          <w:tcPr>
            <w:tcW w:w="850" w:type="dxa"/>
            <w:tcBorders>
              <w:top w:val="single" w:sz="4" w:space="0" w:color="auto"/>
              <w:left w:val="single" w:sz="4" w:space="0" w:color="auto"/>
              <w:bottom w:val="single" w:sz="4" w:space="0" w:color="auto"/>
              <w:right w:val="single" w:sz="4" w:space="0" w:color="auto"/>
            </w:tcBorders>
            <w:shd w:val="clear" w:color="auto" w:fill="E0EDF9"/>
            <w:vAlign w:val="center"/>
          </w:tcPr>
          <w:p w14:paraId="1572DC83" w14:textId="77777777" w:rsidR="00A67D6A" w:rsidRPr="00E85A73" w:rsidDel="00532C50" w:rsidRDefault="00A67D6A">
            <w:pPr>
              <w:pStyle w:val="FDBPTableText"/>
              <w:jc w:val="center"/>
              <w:rPr>
                <w:b/>
                <w:sz w:val="20"/>
                <w:szCs w:val="20"/>
              </w:rPr>
            </w:pPr>
            <w:r>
              <w:rPr>
                <w:b/>
                <w:sz w:val="20"/>
                <w:szCs w:val="20"/>
              </w:rPr>
              <w:t>2018/19</w:t>
            </w:r>
          </w:p>
        </w:tc>
        <w:tc>
          <w:tcPr>
            <w:tcW w:w="851" w:type="dxa"/>
            <w:tcBorders>
              <w:top w:val="single" w:sz="4" w:space="0" w:color="auto"/>
              <w:left w:val="single" w:sz="4" w:space="0" w:color="auto"/>
              <w:bottom w:val="single" w:sz="4" w:space="0" w:color="auto"/>
              <w:right w:val="single" w:sz="4" w:space="0" w:color="auto"/>
            </w:tcBorders>
            <w:shd w:val="clear" w:color="auto" w:fill="E0EDF9"/>
            <w:vAlign w:val="center"/>
          </w:tcPr>
          <w:p w14:paraId="72825A3D" w14:textId="77777777" w:rsidR="00A67D6A" w:rsidRDefault="00A67D6A">
            <w:pPr>
              <w:pStyle w:val="FDBPTableText"/>
              <w:jc w:val="center"/>
              <w:rPr>
                <w:b/>
                <w:sz w:val="20"/>
                <w:szCs w:val="20"/>
              </w:rPr>
            </w:pPr>
            <w:r>
              <w:rPr>
                <w:b/>
                <w:sz w:val="20"/>
                <w:szCs w:val="20"/>
              </w:rPr>
              <w:t>2019/20</w:t>
            </w:r>
          </w:p>
        </w:tc>
        <w:tc>
          <w:tcPr>
            <w:tcW w:w="850" w:type="dxa"/>
            <w:tcBorders>
              <w:top w:val="single" w:sz="4" w:space="0" w:color="auto"/>
              <w:left w:val="single" w:sz="4" w:space="0" w:color="auto"/>
              <w:bottom w:val="single" w:sz="4" w:space="0" w:color="auto"/>
              <w:right w:val="single" w:sz="4" w:space="0" w:color="auto"/>
            </w:tcBorders>
            <w:shd w:val="clear" w:color="auto" w:fill="E0EDF9"/>
            <w:vAlign w:val="center"/>
          </w:tcPr>
          <w:p w14:paraId="0DCCCF66" w14:textId="77777777" w:rsidR="00A67D6A" w:rsidRDefault="00A67D6A">
            <w:pPr>
              <w:pStyle w:val="FDBPTableText"/>
              <w:jc w:val="center"/>
              <w:rPr>
                <w:b/>
                <w:sz w:val="20"/>
                <w:szCs w:val="20"/>
              </w:rPr>
            </w:pPr>
            <w:r>
              <w:rPr>
                <w:b/>
                <w:sz w:val="20"/>
                <w:szCs w:val="20"/>
              </w:rPr>
              <w:t>2020/21</w:t>
            </w:r>
          </w:p>
        </w:tc>
      </w:tr>
      <w:tr w:rsidR="00A67D6A" w:rsidRPr="0067189C" w14:paraId="46B62F66" w14:textId="77777777" w:rsidTr="00CC18E4">
        <w:trPr>
          <w:trHeight w:val="263"/>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FCCCE" w14:textId="77777777" w:rsidR="00A67D6A" w:rsidRPr="00641142" w:rsidRDefault="00A67D6A" w:rsidP="00DD49A7">
            <w:pPr>
              <w:pStyle w:val="FDBPTableText"/>
              <w:rPr>
                <w:sz w:val="18"/>
                <w:szCs w:val="18"/>
              </w:rPr>
            </w:pPr>
            <w:r w:rsidRPr="00641142">
              <w:rPr>
                <w:sz w:val="18"/>
                <w:szCs w:val="18"/>
              </w:rPr>
              <w:t>Planned completion</w:t>
            </w:r>
          </w:p>
        </w:tc>
        <w:tc>
          <w:tcPr>
            <w:tcW w:w="850" w:type="dxa"/>
            <w:tcBorders>
              <w:top w:val="single" w:sz="4" w:space="0" w:color="auto"/>
              <w:left w:val="nil"/>
              <w:bottom w:val="single" w:sz="4" w:space="0" w:color="auto"/>
              <w:right w:val="single" w:sz="4" w:space="0" w:color="auto"/>
            </w:tcBorders>
            <w:shd w:val="clear" w:color="auto" w:fill="FFFF99"/>
            <w:vAlign w:val="center"/>
          </w:tcPr>
          <w:p w14:paraId="5720C457" w14:textId="77777777" w:rsidR="00A67D6A" w:rsidRPr="00CC18E4" w:rsidRDefault="00A67D6A" w:rsidP="00DD49A7">
            <w:pPr>
              <w:pStyle w:val="FDBPTableText"/>
              <w:jc w:val="right"/>
              <w:rPr>
                <w:sz w:val="17"/>
                <w:szCs w:val="17"/>
              </w:rPr>
            </w:pPr>
            <w:r w:rsidRPr="00CC18E4">
              <w:rPr>
                <w:sz w:val="17"/>
                <w:szCs w:val="17"/>
              </w:rPr>
              <w:t>8</w:t>
            </w: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14:paraId="1F191EB7" w14:textId="77777777" w:rsidR="00A67D6A" w:rsidRPr="00CC18E4" w:rsidRDefault="00A67D6A" w:rsidP="00DD49A7">
            <w:pPr>
              <w:pStyle w:val="FDBPTableText"/>
              <w:jc w:val="right"/>
              <w:rPr>
                <w:sz w:val="17"/>
                <w:szCs w:val="17"/>
              </w:rPr>
            </w:pPr>
            <w:r w:rsidRPr="00CC18E4">
              <w:rPr>
                <w:sz w:val="17"/>
                <w:szCs w:val="17"/>
              </w:rPr>
              <w:t>20</w:t>
            </w: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14:paraId="21BC158B" w14:textId="77777777" w:rsidR="00A67D6A" w:rsidRPr="00CC18E4" w:rsidRDefault="00A67D6A" w:rsidP="00DD49A7">
            <w:pPr>
              <w:pStyle w:val="FDBPTableText"/>
              <w:jc w:val="right"/>
              <w:rPr>
                <w:sz w:val="17"/>
                <w:szCs w:val="17"/>
              </w:rPr>
            </w:pPr>
            <w:r w:rsidRPr="00CC18E4">
              <w:rPr>
                <w:sz w:val="17"/>
                <w:szCs w:val="17"/>
              </w:rPr>
              <w:t>23</w:t>
            </w: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14:paraId="47933EC7" w14:textId="77777777" w:rsidR="00A67D6A" w:rsidRPr="00CC18E4" w:rsidRDefault="00A67D6A" w:rsidP="00DD49A7">
            <w:pPr>
              <w:pStyle w:val="FDBPTableText"/>
              <w:jc w:val="right"/>
              <w:rPr>
                <w:sz w:val="17"/>
                <w:szCs w:val="17"/>
              </w:rPr>
            </w:pPr>
            <w:r w:rsidRPr="00CC18E4">
              <w:rPr>
                <w:sz w:val="17"/>
                <w:szCs w:val="17"/>
              </w:rPr>
              <w:t>28</w:t>
            </w:r>
          </w:p>
        </w:tc>
        <w:tc>
          <w:tcPr>
            <w:tcW w:w="850" w:type="dxa"/>
            <w:tcBorders>
              <w:top w:val="single" w:sz="4" w:space="0" w:color="auto"/>
              <w:left w:val="single" w:sz="4" w:space="0" w:color="auto"/>
              <w:bottom w:val="single" w:sz="4" w:space="0" w:color="auto"/>
              <w:right w:val="single" w:sz="4" w:space="0" w:color="auto"/>
            </w:tcBorders>
            <w:vAlign w:val="center"/>
          </w:tcPr>
          <w:p w14:paraId="76DC247E" w14:textId="77777777" w:rsidR="00A67D6A" w:rsidRPr="00CC18E4" w:rsidRDefault="00A67D6A" w:rsidP="00DD49A7">
            <w:pPr>
              <w:pStyle w:val="FDBPTableText"/>
              <w:jc w:val="right"/>
              <w:rPr>
                <w:sz w:val="17"/>
                <w:szCs w:val="17"/>
              </w:rPr>
            </w:pPr>
            <w:r w:rsidRPr="00CC18E4">
              <w:rPr>
                <w:sz w:val="17"/>
                <w:szCs w:val="17"/>
              </w:rPr>
              <w:t>32</w:t>
            </w:r>
          </w:p>
        </w:tc>
        <w:tc>
          <w:tcPr>
            <w:tcW w:w="851" w:type="dxa"/>
            <w:tcBorders>
              <w:top w:val="single" w:sz="4" w:space="0" w:color="auto"/>
              <w:left w:val="single" w:sz="4" w:space="0" w:color="auto"/>
              <w:bottom w:val="single" w:sz="4" w:space="0" w:color="auto"/>
              <w:right w:val="single" w:sz="4" w:space="0" w:color="auto"/>
            </w:tcBorders>
            <w:vAlign w:val="center"/>
          </w:tcPr>
          <w:p w14:paraId="7670EB8F" w14:textId="77777777" w:rsidR="00A67D6A" w:rsidRPr="00CC18E4" w:rsidRDefault="00A67D6A" w:rsidP="00DD49A7">
            <w:pPr>
              <w:pStyle w:val="FDBPTableText"/>
              <w:jc w:val="right"/>
              <w:rPr>
                <w:sz w:val="17"/>
                <w:szCs w:val="17"/>
              </w:rPr>
            </w:pPr>
            <w:r w:rsidRPr="00CC18E4">
              <w:rPr>
                <w:sz w:val="17"/>
                <w:szCs w:val="17"/>
              </w:rPr>
              <w:t>35</w:t>
            </w:r>
          </w:p>
        </w:tc>
        <w:tc>
          <w:tcPr>
            <w:tcW w:w="850" w:type="dxa"/>
            <w:tcBorders>
              <w:top w:val="single" w:sz="4" w:space="0" w:color="auto"/>
              <w:left w:val="single" w:sz="4" w:space="0" w:color="auto"/>
              <w:bottom w:val="single" w:sz="4" w:space="0" w:color="auto"/>
              <w:right w:val="single" w:sz="4" w:space="0" w:color="auto"/>
            </w:tcBorders>
            <w:vAlign w:val="center"/>
          </w:tcPr>
          <w:p w14:paraId="6509BB77" w14:textId="77777777" w:rsidR="00A67D6A" w:rsidRPr="00CC18E4" w:rsidRDefault="00A67D6A" w:rsidP="00DD49A7">
            <w:pPr>
              <w:pStyle w:val="FDBPTableText"/>
              <w:jc w:val="right"/>
              <w:rPr>
                <w:sz w:val="17"/>
                <w:szCs w:val="17"/>
              </w:rPr>
            </w:pPr>
            <w:r w:rsidRPr="00CC18E4">
              <w:rPr>
                <w:sz w:val="17"/>
                <w:szCs w:val="17"/>
              </w:rPr>
              <w:t>37</w:t>
            </w:r>
          </w:p>
        </w:tc>
        <w:tc>
          <w:tcPr>
            <w:tcW w:w="851" w:type="dxa"/>
            <w:tcBorders>
              <w:top w:val="single" w:sz="4" w:space="0" w:color="auto"/>
              <w:left w:val="single" w:sz="4" w:space="0" w:color="auto"/>
              <w:bottom w:val="single" w:sz="4" w:space="0" w:color="auto"/>
              <w:right w:val="single" w:sz="4" w:space="0" w:color="auto"/>
            </w:tcBorders>
            <w:vAlign w:val="center"/>
          </w:tcPr>
          <w:p w14:paraId="4169C170" w14:textId="77777777" w:rsidR="00A67D6A" w:rsidRPr="00CC18E4" w:rsidRDefault="00A67D6A">
            <w:pPr>
              <w:pStyle w:val="FDBPTableText"/>
              <w:jc w:val="right"/>
              <w:rPr>
                <w:sz w:val="17"/>
                <w:szCs w:val="17"/>
              </w:rPr>
            </w:pPr>
            <w:r w:rsidRPr="00CC18E4">
              <w:rPr>
                <w:sz w:val="17"/>
                <w:szCs w:val="17"/>
              </w:rPr>
              <w:t>37</w:t>
            </w:r>
          </w:p>
        </w:tc>
        <w:tc>
          <w:tcPr>
            <w:tcW w:w="850" w:type="dxa"/>
            <w:tcBorders>
              <w:top w:val="single" w:sz="4" w:space="0" w:color="auto"/>
              <w:left w:val="single" w:sz="4" w:space="0" w:color="auto"/>
              <w:bottom w:val="single" w:sz="4" w:space="0" w:color="auto"/>
              <w:right w:val="single" w:sz="4" w:space="0" w:color="auto"/>
            </w:tcBorders>
            <w:vAlign w:val="center"/>
          </w:tcPr>
          <w:p w14:paraId="112EAD2C" w14:textId="77777777" w:rsidR="00A67D6A" w:rsidRPr="00CC18E4" w:rsidRDefault="00A67D6A" w:rsidP="009629B0">
            <w:pPr>
              <w:pStyle w:val="FDBPTableText"/>
              <w:jc w:val="right"/>
              <w:rPr>
                <w:sz w:val="17"/>
                <w:szCs w:val="17"/>
              </w:rPr>
            </w:pPr>
            <w:r w:rsidRPr="00CC18E4">
              <w:rPr>
                <w:sz w:val="17"/>
                <w:szCs w:val="17"/>
              </w:rPr>
              <w:t>37</w:t>
            </w:r>
          </w:p>
        </w:tc>
      </w:tr>
      <w:tr w:rsidR="00A67D6A" w:rsidRPr="0067189C" w14:paraId="29BBFAC1" w14:textId="77777777" w:rsidTr="00CC18E4">
        <w:trPr>
          <w:trHeight w:val="25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541A8" w14:textId="77777777" w:rsidR="00A67D6A" w:rsidRPr="00641142" w:rsidRDefault="00A67D6A" w:rsidP="00DD49A7">
            <w:pPr>
              <w:pStyle w:val="FDBPTableText"/>
              <w:rPr>
                <w:sz w:val="18"/>
                <w:szCs w:val="18"/>
              </w:rPr>
            </w:pPr>
            <w:r w:rsidRPr="00641142">
              <w:rPr>
                <w:sz w:val="18"/>
                <w:szCs w:val="18"/>
              </w:rPr>
              <w:t>Latest forecast completion range</w:t>
            </w:r>
          </w:p>
        </w:tc>
        <w:tc>
          <w:tcPr>
            <w:tcW w:w="850" w:type="dxa"/>
            <w:tcBorders>
              <w:top w:val="single" w:sz="4" w:space="0" w:color="auto"/>
              <w:left w:val="nil"/>
              <w:bottom w:val="single" w:sz="4" w:space="0" w:color="auto"/>
              <w:right w:val="single" w:sz="4" w:space="0" w:color="auto"/>
            </w:tcBorders>
            <w:shd w:val="clear" w:color="auto" w:fill="FFFF99"/>
            <w:vAlign w:val="center"/>
          </w:tcPr>
          <w:p w14:paraId="39F4AF8F" w14:textId="77777777" w:rsidR="00A67D6A" w:rsidRPr="00CC18E4" w:rsidRDefault="00A67D6A" w:rsidP="00DD49A7">
            <w:pPr>
              <w:pStyle w:val="FDBPTableText"/>
              <w:jc w:val="right"/>
              <w:rPr>
                <w:sz w:val="17"/>
                <w:szCs w:val="17"/>
              </w:rPr>
            </w:pPr>
            <w:r w:rsidRPr="00CC18E4">
              <w:rPr>
                <w:sz w:val="17"/>
                <w:szCs w:val="17"/>
              </w:rPr>
              <w:t>4</w:t>
            </w: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14:paraId="7AFFDF81" w14:textId="77777777" w:rsidR="00A67D6A" w:rsidRPr="00CC18E4" w:rsidRDefault="00A67D6A" w:rsidP="00DD49A7">
            <w:pPr>
              <w:pStyle w:val="FDBPTableText"/>
              <w:jc w:val="right"/>
              <w:rPr>
                <w:sz w:val="17"/>
                <w:szCs w:val="17"/>
              </w:rPr>
            </w:pPr>
            <w:r w:rsidRPr="00CC18E4">
              <w:rPr>
                <w:sz w:val="17"/>
                <w:szCs w:val="17"/>
              </w:rPr>
              <w:t>6</w:t>
            </w: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14:paraId="452E60E8" w14:textId="77777777" w:rsidR="00A67D6A" w:rsidRPr="00CC18E4" w:rsidRDefault="00A67D6A" w:rsidP="00DD37A7">
            <w:pPr>
              <w:pStyle w:val="FDBPTableText"/>
              <w:jc w:val="right"/>
              <w:rPr>
                <w:sz w:val="17"/>
                <w:szCs w:val="17"/>
              </w:rPr>
            </w:pPr>
            <w:r w:rsidRPr="00CC18E4">
              <w:rPr>
                <w:sz w:val="17"/>
                <w:szCs w:val="17"/>
              </w:rPr>
              <w:t>11</w:t>
            </w: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14:paraId="1F4886AA" w14:textId="77777777" w:rsidR="00A67D6A" w:rsidRPr="00CC18E4" w:rsidRDefault="00A67D6A" w:rsidP="003447CA">
            <w:pPr>
              <w:pStyle w:val="FDBPTableText"/>
              <w:jc w:val="right"/>
              <w:rPr>
                <w:sz w:val="17"/>
                <w:szCs w:val="17"/>
                <w:highlight w:val="yellow"/>
              </w:rPr>
            </w:pPr>
            <w:r w:rsidRPr="00CC18E4">
              <w:rPr>
                <w:sz w:val="17"/>
                <w:szCs w:val="17"/>
              </w:rPr>
              <w:t>21 - 25</w:t>
            </w:r>
          </w:p>
        </w:tc>
        <w:tc>
          <w:tcPr>
            <w:tcW w:w="850" w:type="dxa"/>
            <w:tcBorders>
              <w:top w:val="single" w:sz="4" w:space="0" w:color="auto"/>
              <w:left w:val="single" w:sz="4" w:space="0" w:color="auto"/>
              <w:bottom w:val="single" w:sz="4" w:space="0" w:color="auto"/>
              <w:right w:val="single" w:sz="4" w:space="0" w:color="auto"/>
            </w:tcBorders>
            <w:vAlign w:val="center"/>
          </w:tcPr>
          <w:p w14:paraId="3C62EE31" w14:textId="77777777" w:rsidR="00A67D6A" w:rsidRPr="00CC18E4" w:rsidRDefault="00A67D6A" w:rsidP="00DD49A7">
            <w:pPr>
              <w:pStyle w:val="FDBPTableText"/>
              <w:jc w:val="right"/>
              <w:rPr>
                <w:sz w:val="17"/>
                <w:szCs w:val="17"/>
              </w:rPr>
            </w:pPr>
            <w:r w:rsidRPr="00CC18E4">
              <w:rPr>
                <w:sz w:val="17"/>
                <w:szCs w:val="17"/>
              </w:rPr>
              <w:t>26 – 29</w:t>
            </w:r>
          </w:p>
        </w:tc>
        <w:tc>
          <w:tcPr>
            <w:tcW w:w="851" w:type="dxa"/>
            <w:tcBorders>
              <w:top w:val="single" w:sz="4" w:space="0" w:color="auto"/>
              <w:left w:val="single" w:sz="4" w:space="0" w:color="auto"/>
              <w:bottom w:val="single" w:sz="4" w:space="0" w:color="auto"/>
              <w:right w:val="single" w:sz="4" w:space="0" w:color="auto"/>
            </w:tcBorders>
            <w:vAlign w:val="center"/>
          </w:tcPr>
          <w:p w14:paraId="3A589DC0" w14:textId="77777777" w:rsidR="00A67D6A" w:rsidRPr="00CC18E4" w:rsidRDefault="00A67D6A" w:rsidP="00DD49A7">
            <w:pPr>
              <w:pStyle w:val="FDBPTableText"/>
              <w:jc w:val="right"/>
              <w:rPr>
                <w:sz w:val="17"/>
                <w:szCs w:val="17"/>
              </w:rPr>
            </w:pPr>
            <w:r w:rsidRPr="00CC18E4">
              <w:rPr>
                <w:sz w:val="17"/>
                <w:szCs w:val="17"/>
              </w:rPr>
              <w:t>31 – 33</w:t>
            </w:r>
          </w:p>
        </w:tc>
        <w:tc>
          <w:tcPr>
            <w:tcW w:w="850" w:type="dxa"/>
            <w:tcBorders>
              <w:top w:val="single" w:sz="4" w:space="0" w:color="auto"/>
              <w:left w:val="single" w:sz="4" w:space="0" w:color="auto"/>
              <w:bottom w:val="single" w:sz="4" w:space="0" w:color="auto"/>
              <w:right w:val="single" w:sz="4" w:space="0" w:color="auto"/>
            </w:tcBorders>
            <w:vAlign w:val="center"/>
          </w:tcPr>
          <w:p w14:paraId="74A8A151" w14:textId="77777777" w:rsidR="00A67D6A" w:rsidRPr="00CC18E4" w:rsidRDefault="00A67D6A" w:rsidP="00DD49A7">
            <w:pPr>
              <w:pStyle w:val="FDBPTableText"/>
              <w:jc w:val="right"/>
              <w:rPr>
                <w:sz w:val="17"/>
                <w:szCs w:val="17"/>
                <w:highlight w:val="yellow"/>
              </w:rPr>
            </w:pPr>
            <w:r w:rsidRPr="00CC18E4">
              <w:rPr>
                <w:sz w:val="17"/>
                <w:szCs w:val="17"/>
              </w:rPr>
              <w:t>33 – 36</w:t>
            </w:r>
          </w:p>
        </w:tc>
        <w:tc>
          <w:tcPr>
            <w:tcW w:w="851" w:type="dxa"/>
            <w:tcBorders>
              <w:top w:val="single" w:sz="4" w:space="0" w:color="auto"/>
              <w:left w:val="single" w:sz="4" w:space="0" w:color="auto"/>
              <w:bottom w:val="single" w:sz="4" w:space="0" w:color="auto"/>
              <w:right w:val="single" w:sz="4" w:space="0" w:color="auto"/>
            </w:tcBorders>
            <w:vAlign w:val="center"/>
          </w:tcPr>
          <w:p w14:paraId="0441A713" w14:textId="77777777" w:rsidR="00A67D6A" w:rsidRPr="00CC18E4" w:rsidDel="00957199" w:rsidRDefault="00A67D6A">
            <w:pPr>
              <w:pStyle w:val="FDBPTableText"/>
              <w:jc w:val="right"/>
              <w:rPr>
                <w:sz w:val="17"/>
                <w:szCs w:val="17"/>
              </w:rPr>
            </w:pPr>
            <w:r w:rsidRPr="00CC18E4">
              <w:rPr>
                <w:sz w:val="17"/>
                <w:szCs w:val="17"/>
              </w:rPr>
              <w:t>36</w:t>
            </w:r>
          </w:p>
        </w:tc>
        <w:tc>
          <w:tcPr>
            <w:tcW w:w="850" w:type="dxa"/>
            <w:tcBorders>
              <w:top w:val="single" w:sz="4" w:space="0" w:color="auto"/>
              <w:left w:val="single" w:sz="4" w:space="0" w:color="auto"/>
              <w:bottom w:val="single" w:sz="4" w:space="0" w:color="auto"/>
              <w:right w:val="single" w:sz="4" w:space="0" w:color="auto"/>
            </w:tcBorders>
            <w:vAlign w:val="center"/>
          </w:tcPr>
          <w:p w14:paraId="65B3471C" w14:textId="77777777" w:rsidR="00A67D6A" w:rsidRPr="00CC18E4" w:rsidDel="00A67D6A" w:rsidRDefault="00A67D6A" w:rsidP="009629B0">
            <w:pPr>
              <w:pStyle w:val="FDBPTableText"/>
              <w:jc w:val="right"/>
              <w:rPr>
                <w:sz w:val="17"/>
                <w:szCs w:val="17"/>
              </w:rPr>
            </w:pPr>
            <w:r w:rsidRPr="00CC18E4">
              <w:rPr>
                <w:sz w:val="17"/>
                <w:szCs w:val="17"/>
              </w:rPr>
              <w:t>37</w:t>
            </w:r>
          </w:p>
        </w:tc>
      </w:tr>
    </w:tbl>
    <w:p w14:paraId="2B8F8213" w14:textId="77777777" w:rsidR="00D867A4" w:rsidRPr="00E20889" w:rsidRDefault="00D867A4" w:rsidP="00D867A4">
      <w:pPr>
        <w:pStyle w:val="BodyTextIndent"/>
        <w:spacing w:after="0"/>
        <w:ind w:left="0"/>
        <w:jc w:val="both"/>
        <w:rPr>
          <w:rFonts w:ascii="Arial" w:hAnsi="Arial" w:cs="Arial"/>
          <w:b/>
          <w:kern w:val="24"/>
        </w:rPr>
      </w:pPr>
    </w:p>
    <w:p w14:paraId="49C25828" w14:textId="32A570B3" w:rsidR="003C7CE9" w:rsidRDefault="003C7CE9" w:rsidP="003C7CE9">
      <w:pPr>
        <w:pStyle w:val="BodyTextIndent"/>
        <w:spacing w:after="0"/>
        <w:ind w:left="0"/>
        <w:jc w:val="both"/>
        <w:rPr>
          <w:rFonts w:ascii="Arial" w:hAnsi="Arial" w:cs="Arial"/>
          <w:color w:val="000000"/>
        </w:rPr>
      </w:pPr>
      <w:r w:rsidRPr="00E20889">
        <w:rPr>
          <w:rFonts w:ascii="Arial" w:eastAsia="Times New Roman" w:hAnsi="Arial" w:cs="Arial"/>
          <w:bCs/>
          <w:kern w:val="24"/>
        </w:rPr>
        <w:t>Scottish Water</w:t>
      </w:r>
      <w:r w:rsidRPr="00E20889">
        <w:rPr>
          <w:rFonts w:ascii="Arial" w:hAnsi="Arial" w:cs="Arial"/>
        </w:rPr>
        <w:t xml:space="preserve"> started the 2015-21 period with 37 projects from the previous programme which </w:t>
      </w:r>
      <w:r w:rsidRPr="00585148">
        <w:rPr>
          <w:rFonts w:ascii="Arial" w:hAnsi="Arial" w:cs="Arial"/>
          <w:color w:val="000000"/>
        </w:rPr>
        <w:t xml:space="preserve">were </w:t>
      </w:r>
      <w:r>
        <w:rPr>
          <w:rFonts w:ascii="Arial" w:hAnsi="Arial" w:cs="Arial"/>
          <w:color w:val="000000"/>
        </w:rPr>
        <w:t xml:space="preserve">due but </w:t>
      </w:r>
      <w:r w:rsidRPr="00585148">
        <w:rPr>
          <w:rFonts w:ascii="Arial" w:hAnsi="Arial" w:cs="Arial"/>
          <w:color w:val="000000"/>
        </w:rPr>
        <w:t xml:space="preserve">not completed by March 2015.  </w:t>
      </w:r>
      <w:r w:rsidRPr="000C129D">
        <w:rPr>
          <w:rFonts w:ascii="Arial" w:hAnsi="Arial" w:cs="Arial"/>
          <w:color w:val="000000"/>
        </w:rPr>
        <w:t xml:space="preserve">Scottish Water has achieved regulatory sign-off for </w:t>
      </w:r>
      <w:r w:rsidR="00E84DD1" w:rsidRPr="000C129D">
        <w:rPr>
          <w:rFonts w:ascii="Arial" w:hAnsi="Arial" w:cs="Arial"/>
          <w:color w:val="000000"/>
        </w:rPr>
        <w:t>1</w:t>
      </w:r>
      <w:r w:rsidR="00902DD7" w:rsidRPr="000C129D">
        <w:rPr>
          <w:rFonts w:ascii="Arial" w:hAnsi="Arial" w:cs="Arial"/>
          <w:color w:val="000000"/>
        </w:rPr>
        <w:t>1</w:t>
      </w:r>
      <w:r w:rsidRPr="000C129D">
        <w:rPr>
          <w:rFonts w:ascii="Arial" w:hAnsi="Arial" w:cs="Arial"/>
          <w:color w:val="000000"/>
        </w:rPr>
        <w:t xml:space="preserve"> </w:t>
      </w:r>
      <w:r w:rsidR="00E97DDF" w:rsidRPr="000C129D">
        <w:rPr>
          <w:rFonts w:ascii="Arial" w:hAnsi="Arial" w:cs="Arial"/>
          <w:color w:val="000000"/>
        </w:rPr>
        <w:t xml:space="preserve">of these </w:t>
      </w:r>
      <w:r w:rsidRPr="000C129D">
        <w:rPr>
          <w:rFonts w:ascii="Arial" w:hAnsi="Arial" w:cs="Arial"/>
          <w:color w:val="000000"/>
        </w:rPr>
        <w:t xml:space="preserve">projects at the end of Quarter </w:t>
      </w:r>
      <w:r w:rsidR="00E84DD1" w:rsidRPr="000C129D">
        <w:rPr>
          <w:rFonts w:ascii="Arial" w:hAnsi="Arial" w:cs="Arial"/>
          <w:color w:val="000000"/>
        </w:rPr>
        <w:t>3</w:t>
      </w:r>
      <w:r w:rsidR="00D609DB" w:rsidRPr="000C129D">
        <w:rPr>
          <w:rFonts w:ascii="Arial" w:hAnsi="Arial" w:cs="Arial"/>
          <w:color w:val="000000"/>
        </w:rPr>
        <w:t xml:space="preserve">, with a further </w:t>
      </w:r>
      <w:r w:rsidR="000C129D" w:rsidRPr="000C129D">
        <w:rPr>
          <w:rFonts w:ascii="Arial" w:hAnsi="Arial" w:cs="Arial"/>
          <w:color w:val="000000"/>
        </w:rPr>
        <w:t xml:space="preserve">3 </w:t>
      </w:r>
      <w:r w:rsidR="00D609DB" w:rsidRPr="000C129D">
        <w:rPr>
          <w:rFonts w:ascii="Arial" w:hAnsi="Arial" w:cs="Arial"/>
          <w:color w:val="000000"/>
        </w:rPr>
        <w:t xml:space="preserve">projects </w:t>
      </w:r>
      <w:r w:rsidR="009C2442">
        <w:rPr>
          <w:rFonts w:ascii="Arial" w:hAnsi="Arial" w:cs="Arial"/>
          <w:color w:val="000000"/>
        </w:rPr>
        <w:t xml:space="preserve">to </w:t>
      </w:r>
      <w:r w:rsidR="000C129D" w:rsidRPr="000C129D">
        <w:rPr>
          <w:rFonts w:ascii="Arial" w:hAnsi="Arial" w:cs="Arial"/>
          <w:color w:val="000000"/>
        </w:rPr>
        <w:t xml:space="preserve">February </w:t>
      </w:r>
      <w:r w:rsidR="00D609DB" w:rsidRPr="000C129D">
        <w:rPr>
          <w:rFonts w:ascii="Arial" w:hAnsi="Arial" w:cs="Arial"/>
          <w:color w:val="000000"/>
        </w:rPr>
        <w:t xml:space="preserve">2016.  </w:t>
      </w:r>
      <w:r w:rsidR="0043681E" w:rsidRPr="000C129D">
        <w:rPr>
          <w:rFonts w:ascii="Arial" w:hAnsi="Arial" w:cs="Arial"/>
          <w:color w:val="000000"/>
        </w:rPr>
        <w:t>W</w:t>
      </w:r>
      <w:r w:rsidR="0043681E" w:rsidRPr="000C129D">
        <w:rPr>
          <w:rFonts w:ascii="Arial" w:hAnsi="Arial" w:cs="Arial"/>
        </w:rPr>
        <w:t xml:space="preserve">hile this is significantly fewer than the 23 projects anticipated at the end of December, </w:t>
      </w:r>
      <w:r w:rsidR="0043681E" w:rsidRPr="000C129D">
        <w:rPr>
          <w:rFonts w:ascii="Arial" w:hAnsi="Arial" w:cs="Arial"/>
          <w:color w:val="000000"/>
        </w:rPr>
        <w:t xml:space="preserve">Scottish Water forecasts that a further </w:t>
      </w:r>
      <w:r w:rsidR="00F81D0B">
        <w:rPr>
          <w:rFonts w:ascii="Arial" w:hAnsi="Arial" w:cs="Arial"/>
          <w:color w:val="000000"/>
        </w:rPr>
        <w:t>7</w:t>
      </w:r>
      <w:r w:rsidR="00F81D0B" w:rsidRPr="000C129D">
        <w:rPr>
          <w:rFonts w:ascii="Arial" w:hAnsi="Arial" w:cs="Arial"/>
          <w:color w:val="000000"/>
        </w:rPr>
        <w:t xml:space="preserve"> </w:t>
      </w:r>
      <w:r w:rsidR="0043681E" w:rsidRPr="000C129D">
        <w:rPr>
          <w:rFonts w:ascii="Arial" w:hAnsi="Arial" w:cs="Arial"/>
          <w:color w:val="000000"/>
        </w:rPr>
        <w:t>to 1</w:t>
      </w:r>
      <w:r w:rsidR="00F81D0B">
        <w:rPr>
          <w:rFonts w:ascii="Arial" w:hAnsi="Arial" w:cs="Arial"/>
          <w:color w:val="000000"/>
        </w:rPr>
        <w:t>1</w:t>
      </w:r>
      <w:r w:rsidR="0043681E" w:rsidRPr="000C129D">
        <w:rPr>
          <w:rFonts w:ascii="Arial" w:hAnsi="Arial" w:cs="Arial"/>
          <w:color w:val="000000"/>
        </w:rPr>
        <w:t xml:space="preserve"> outputs will achieve</w:t>
      </w:r>
      <w:r w:rsidR="0043681E" w:rsidRPr="005C10F4">
        <w:rPr>
          <w:rFonts w:ascii="Arial" w:hAnsi="Arial" w:cs="Arial"/>
          <w:color w:val="000000"/>
        </w:rPr>
        <w:t xml:space="preserve"> regulatory sign-off by March 2016, </w:t>
      </w:r>
      <w:r w:rsidR="0043681E">
        <w:rPr>
          <w:rFonts w:ascii="Arial" w:hAnsi="Arial" w:cs="Arial"/>
          <w:color w:val="000000"/>
        </w:rPr>
        <w:t>bringing the total projects completed in the year to 21 to 25.</w:t>
      </w:r>
      <w:r w:rsidR="00E81D5A">
        <w:rPr>
          <w:rFonts w:ascii="Arial" w:hAnsi="Arial" w:cs="Arial"/>
          <w:color w:val="000000"/>
        </w:rPr>
        <w:t xml:space="preserve">  </w:t>
      </w:r>
      <w:r w:rsidRPr="00BB1FB2">
        <w:rPr>
          <w:rFonts w:ascii="Arial" w:hAnsi="Arial" w:cs="Arial"/>
          <w:kern w:val="24"/>
        </w:rPr>
        <w:t xml:space="preserve">Scottish Water remains focussed on delivering the </w:t>
      </w:r>
      <w:r>
        <w:rPr>
          <w:rFonts w:ascii="Arial" w:hAnsi="Arial" w:cs="Arial"/>
          <w:kern w:val="24"/>
        </w:rPr>
        <w:t xml:space="preserve">projects due to have been completed by March 2015. </w:t>
      </w:r>
      <w:r w:rsidRPr="00BB1FB2">
        <w:rPr>
          <w:rFonts w:ascii="Arial" w:hAnsi="Arial" w:cs="Arial"/>
          <w:kern w:val="24"/>
        </w:rPr>
        <w:t xml:space="preserve"> </w:t>
      </w:r>
    </w:p>
    <w:p w14:paraId="3FBCE128" w14:textId="77777777" w:rsidR="00CA2BAF" w:rsidRDefault="00CA2BAF" w:rsidP="00A61154">
      <w:pPr>
        <w:spacing w:after="0" w:line="240" w:lineRule="auto"/>
        <w:rPr>
          <w:rFonts w:ascii="Arial" w:hAnsi="Arial" w:cs="Arial"/>
          <w:color w:val="000000"/>
        </w:rPr>
      </w:pPr>
    </w:p>
    <w:p w14:paraId="4C168137" w14:textId="77777777" w:rsidR="00BF50E9" w:rsidRPr="001F127D" w:rsidRDefault="0035669A" w:rsidP="00BF50E9">
      <w:pPr>
        <w:spacing w:after="0"/>
        <w:jc w:val="both"/>
        <w:rPr>
          <w:rFonts w:ascii="Arial" w:hAnsi="Arial" w:cs="Arial"/>
          <w:b/>
          <w:bCs/>
        </w:rPr>
      </w:pPr>
      <w:r>
        <w:rPr>
          <w:rFonts w:ascii="Arial" w:hAnsi="Arial" w:cs="Arial"/>
          <w:b/>
        </w:rPr>
        <w:t>6</w:t>
      </w:r>
      <w:r w:rsidR="00BF50E9" w:rsidRPr="002F3F4B">
        <w:rPr>
          <w:rFonts w:ascii="Arial" w:hAnsi="Arial" w:cs="Arial"/>
          <w:b/>
          <w:bCs/>
        </w:rPr>
        <w:t>.</w:t>
      </w:r>
      <w:r w:rsidR="00EA35FC">
        <w:rPr>
          <w:rFonts w:ascii="Arial" w:hAnsi="Arial" w:cs="Arial"/>
          <w:b/>
          <w:bCs/>
        </w:rPr>
        <w:t xml:space="preserve">  </w:t>
      </w:r>
      <w:r w:rsidR="00BF50E9" w:rsidRPr="001F127D">
        <w:rPr>
          <w:rFonts w:ascii="Arial" w:hAnsi="Arial" w:cs="Arial"/>
          <w:b/>
          <w:bCs/>
        </w:rPr>
        <w:t>Conclusion</w:t>
      </w:r>
    </w:p>
    <w:p w14:paraId="1667F1FA" w14:textId="77777777" w:rsidR="00BF50E9" w:rsidRDefault="00BF50E9" w:rsidP="00BF50E9">
      <w:pPr>
        <w:spacing w:after="0"/>
        <w:jc w:val="both"/>
        <w:rPr>
          <w:rFonts w:ascii="Arial" w:hAnsi="Arial" w:cs="Arial"/>
          <w:bCs/>
          <w:kern w:val="24"/>
        </w:rPr>
      </w:pPr>
    </w:p>
    <w:p w14:paraId="2CBAB2E0" w14:textId="7F4CA9FE" w:rsidR="003C7CE9" w:rsidRDefault="003C7CE9" w:rsidP="003C7CE9">
      <w:pPr>
        <w:spacing w:after="0"/>
        <w:jc w:val="both"/>
        <w:rPr>
          <w:rFonts w:ascii="Arial" w:hAnsi="Arial" w:cs="Arial"/>
        </w:rPr>
      </w:pPr>
      <w:r w:rsidRPr="00B13711">
        <w:rPr>
          <w:rFonts w:ascii="Arial" w:hAnsi="Arial" w:cs="Arial"/>
        </w:rPr>
        <w:t xml:space="preserve">The OMG </w:t>
      </w:r>
      <w:r>
        <w:rPr>
          <w:rFonts w:ascii="Arial" w:hAnsi="Arial" w:cs="Arial"/>
        </w:rPr>
        <w:t>notes</w:t>
      </w:r>
      <w:r w:rsidRPr="00B13711">
        <w:rPr>
          <w:rFonts w:ascii="Arial" w:hAnsi="Arial" w:cs="Arial"/>
        </w:rPr>
        <w:t xml:space="preserve"> </w:t>
      </w:r>
      <w:r>
        <w:rPr>
          <w:rFonts w:ascii="Arial" w:hAnsi="Arial" w:cs="Arial"/>
        </w:rPr>
        <w:t xml:space="preserve">the progress being made and </w:t>
      </w:r>
      <w:r w:rsidRPr="00B13711">
        <w:rPr>
          <w:rFonts w:ascii="Arial" w:hAnsi="Arial" w:cs="Arial"/>
        </w:rPr>
        <w:t xml:space="preserve">that at this early stage in the investment period </w:t>
      </w:r>
      <w:r>
        <w:rPr>
          <w:rFonts w:ascii="Arial" w:hAnsi="Arial" w:cs="Arial"/>
        </w:rPr>
        <w:t xml:space="preserve">a number of programme areas, including in </w:t>
      </w:r>
      <w:r w:rsidRPr="00B13711">
        <w:rPr>
          <w:rFonts w:ascii="Arial" w:hAnsi="Arial" w:cs="Arial"/>
        </w:rPr>
        <w:t>the Glasgow programme</w:t>
      </w:r>
      <w:r>
        <w:rPr>
          <w:rFonts w:ascii="Arial" w:hAnsi="Arial" w:cs="Arial"/>
        </w:rPr>
        <w:t>, are</w:t>
      </w:r>
      <w:r w:rsidRPr="00B13711">
        <w:rPr>
          <w:rFonts w:ascii="Arial" w:hAnsi="Arial" w:cs="Arial"/>
        </w:rPr>
        <w:t xml:space="preserve"> behind schedule</w:t>
      </w:r>
      <w:r>
        <w:rPr>
          <w:rFonts w:ascii="Arial" w:hAnsi="Arial" w:cs="Arial"/>
        </w:rPr>
        <w:t xml:space="preserve">. </w:t>
      </w:r>
      <w:r w:rsidR="00156258">
        <w:rPr>
          <w:rFonts w:ascii="Arial" w:hAnsi="Arial" w:cs="Arial"/>
        </w:rPr>
        <w:t xml:space="preserve"> It has provided additional materia</w:t>
      </w:r>
      <w:bookmarkStart w:id="2" w:name="_GoBack"/>
      <w:bookmarkEnd w:id="2"/>
      <w:r w:rsidR="00156258">
        <w:rPr>
          <w:rFonts w:ascii="Arial" w:hAnsi="Arial" w:cs="Arial"/>
        </w:rPr>
        <w:t xml:space="preserve">l on the progress of specific programmes areas to Ministers as requested.  </w:t>
      </w:r>
      <w:r w:rsidR="00E23E07">
        <w:rPr>
          <w:rFonts w:ascii="Arial" w:hAnsi="Arial" w:cs="Arial"/>
        </w:rPr>
        <w:t xml:space="preserve"> </w:t>
      </w:r>
    </w:p>
    <w:p w14:paraId="116D17EA" w14:textId="77777777" w:rsidR="003C7CE9" w:rsidRDefault="003C7CE9" w:rsidP="003C7CE9">
      <w:pPr>
        <w:spacing w:after="0"/>
        <w:jc w:val="both"/>
        <w:rPr>
          <w:rFonts w:ascii="Arial" w:hAnsi="Arial" w:cs="Arial"/>
        </w:rPr>
      </w:pPr>
    </w:p>
    <w:p w14:paraId="213B2C00" w14:textId="45FFBEEF" w:rsidR="009208E5" w:rsidRDefault="003C7CE9" w:rsidP="00143C9E">
      <w:pPr>
        <w:spacing w:after="0"/>
        <w:jc w:val="both"/>
        <w:rPr>
          <w:rFonts w:ascii="Arial" w:hAnsi="Arial" w:cs="Arial"/>
        </w:rPr>
      </w:pPr>
      <w:r>
        <w:rPr>
          <w:rFonts w:ascii="Arial" w:hAnsi="Arial" w:cs="Arial"/>
        </w:rPr>
        <w:t xml:space="preserve">The OMG </w:t>
      </w:r>
      <w:r w:rsidR="00377164">
        <w:rPr>
          <w:rFonts w:ascii="Arial" w:hAnsi="Arial" w:cs="Arial"/>
        </w:rPr>
        <w:t xml:space="preserve">has </w:t>
      </w:r>
      <w:r w:rsidR="009208E5">
        <w:rPr>
          <w:rFonts w:ascii="Arial" w:hAnsi="Arial" w:cs="Arial"/>
        </w:rPr>
        <w:t xml:space="preserve">worked with Scottish Water to </w:t>
      </w:r>
      <w:r w:rsidR="009208E5" w:rsidRPr="009C40A0">
        <w:rPr>
          <w:rFonts w:ascii="Arial" w:hAnsi="Arial" w:cs="Arial"/>
        </w:rPr>
        <w:t xml:space="preserve">review </w:t>
      </w:r>
      <w:r w:rsidR="009208E5">
        <w:rPr>
          <w:rFonts w:ascii="Arial" w:hAnsi="Arial" w:cs="Arial"/>
        </w:rPr>
        <w:t xml:space="preserve">all programme delivery dates to ensure that they reflect the latest understanding of </w:t>
      </w:r>
      <w:r w:rsidR="00C81FAC">
        <w:rPr>
          <w:rFonts w:ascii="Arial" w:hAnsi="Arial" w:cs="Arial"/>
        </w:rPr>
        <w:t xml:space="preserve">the </w:t>
      </w:r>
      <w:r w:rsidR="009208E5">
        <w:rPr>
          <w:rFonts w:ascii="Arial" w:hAnsi="Arial" w:cs="Arial"/>
        </w:rPr>
        <w:t xml:space="preserve">scope </w:t>
      </w:r>
      <w:r w:rsidR="00C81FAC">
        <w:rPr>
          <w:rFonts w:ascii="Arial" w:hAnsi="Arial" w:cs="Arial"/>
        </w:rPr>
        <w:t>of work required</w:t>
      </w:r>
      <w:r w:rsidR="00DD189A">
        <w:rPr>
          <w:rFonts w:ascii="Arial" w:hAnsi="Arial" w:cs="Arial"/>
        </w:rPr>
        <w:t>,</w:t>
      </w:r>
      <w:r w:rsidR="009208E5">
        <w:rPr>
          <w:rFonts w:ascii="Arial" w:hAnsi="Arial" w:cs="Arial"/>
        </w:rPr>
        <w:t xml:space="preserve"> </w:t>
      </w:r>
      <w:r w:rsidR="00DD189A">
        <w:rPr>
          <w:rFonts w:ascii="Arial" w:hAnsi="Arial" w:cs="Arial"/>
        </w:rPr>
        <w:t>the</w:t>
      </w:r>
      <w:r w:rsidR="009208E5">
        <w:rPr>
          <w:rFonts w:ascii="Arial" w:hAnsi="Arial" w:cs="Arial"/>
        </w:rPr>
        <w:t xml:space="preserve"> delivery arrangements </w:t>
      </w:r>
      <w:r w:rsidR="00DD189A">
        <w:rPr>
          <w:rFonts w:ascii="Arial" w:hAnsi="Arial" w:cs="Arial"/>
        </w:rPr>
        <w:t xml:space="preserve">that </w:t>
      </w:r>
      <w:r w:rsidR="009208E5">
        <w:rPr>
          <w:rFonts w:ascii="Arial" w:hAnsi="Arial" w:cs="Arial"/>
        </w:rPr>
        <w:t xml:space="preserve">are </w:t>
      </w:r>
      <w:r w:rsidR="00DD189A">
        <w:rPr>
          <w:rFonts w:ascii="Arial" w:hAnsi="Arial" w:cs="Arial"/>
        </w:rPr>
        <w:t xml:space="preserve">now </w:t>
      </w:r>
      <w:r w:rsidR="009208E5">
        <w:rPr>
          <w:rFonts w:ascii="Arial" w:hAnsi="Arial" w:cs="Arial"/>
        </w:rPr>
        <w:t>fully in place</w:t>
      </w:r>
      <w:r w:rsidR="00C81FAC">
        <w:rPr>
          <w:rFonts w:ascii="Arial" w:hAnsi="Arial" w:cs="Arial"/>
        </w:rPr>
        <w:t xml:space="preserve"> </w:t>
      </w:r>
      <w:r w:rsidR="00DD189A">
        <w:rPr>
          <w:rFonts w:ascii="Arial" w:hAnsi="Arial" w:cs="Arial"/>
        </w:rPr>
        <w:t xml:space="preserve">and the latest information on </w:t>
      </w:r>
      <w:r w:rsidR="00C81FAC">
        <w:rPr>
          <w:rFonts w:ascii="Arial" w:hAnsi="Arial" w:cs="Arial"/>
        </w:rPr>
        <w:t>programme risks.</w:t>
      </w:r>
      <w:r w:rsidR="00156258">
        <w:rPr>
          <w:rFonts w:ascii="Arial" w:hAnsi="Arial" w:cs="Arial"/>
        </w:rPr>
        <w:t xml:space="preserve">  </w:t>
      </w:r>
      <w:r w:rsidR="005A6323">
        <w:rPr>
          <w:rFonts w:ascii="Arial" w:hAnsi="Arial" w:cs="Arial"/>
        </w:rPr>
        <w:t>Regulators have challenged the dates put forward to ensure that improvements are delivered in line with customer and regulator expectations.</w:t>
      </w:r>
      <w:r w:rsidR="00C81FAC">
        <w:rPr>
          <w:rFonts w:ascii="Arial" w:hAnsi="Arial" w:cs="Arial"/>
        </w:rPr>
        <w:t xml:space="preserve">  The OMG </w:t>
      </w:r>
      <w:r w:rsidR="00DD189A">
        <w:rPr>
          <w:rFonts w:ascii="Arial" w:hAnsi="Arial" w:cs="Arial"/>
        </w:rPr>
        <w:t>notes that Scottish Water will propose the</w:t>
      </w:r>
      <w:r w:rsidR="009208E5">
        <w:rPr>
          <w:rFonts w:ascii="Arial" w:hAnsi="Arial" w:cs="Arial"/>
        </w:rPr>
        <w:t xml:space="preserve"> </w:t>
      </w:r>
      <w:r w:rsidR="00E5728E">
        <w:rPr>
          <w:rFonts w:ascii="Arial" w:hAnsi="Arial" w:cs="Arial"/>
        </w:rPr>
        <w:t xml:space="preserve">revised </w:t>
      </w:r>
      <w:r w:rsidR="009208E5">
        <w:rPr>
          <w:rFonts w:ascii="Arial" w:hAnsi="Arial" w:cs="Arial"/>
        </w:rPr>
        <w:t xml:space="preserve">delivery profile </w:t>
      </w:r>
      <w:r w:rsidR="00DD189A">
        <w:rPr>
          <w:rFonts w:ascii="Arial" w:hAnsi="Arial" w:cs="Arial"/>
        </w:rPr>
        <w:t xml:space="preserve">as part of its Delivery Plan </w:t>
      </w:r>
      <w:r w:rsidR="00A52199">
        <w:rPr>
          <w:rFonts w:ascii="Arial" w:hAnsi="Arial" w:cs="Arial"/>
        </w:rPr>
        <w:t xml:space="preserve">update </w:t>
      </w:r>
      <w:r w:rsidR="00DD189A">
        <w:rPr>
          <w:rFonts w:ascii="Arial" w:hAnsi="Arial" w:cs="Arial"/>
        </w:rPr>
        <w:t>to Ministers</w:t>
      </w:r>
      <w:r w:rsidR="00BF5F1A">
        <w:rPr>
          <w:rFonts w:ascii="Arial" w:hAnsi="Arial" w:cs="Arial"/>
        </w:rPr>
        <w:t xml:space="preserve">. </w:t>
      </w:r>
      <w:r w:rsidR="003E5AC6">
        <w:rPr>
          <w:rFonts w:ascii="Arial" w:hAnsi="Arial" w:cs="Arial"/>
        </w:rPr>
        <w:t xml:space="preserve"> </w:t>
      </w:r>
      <w:r w:rsidR="00BF5F1A">
        <w:rPr>
          <w:rFonts w:ascii="Arial" w:hAnsi="Arial" w:cs="Arial"/>
        </w:rPr>
        <w:t xml:space="preserve">The profile that Ministers approve </w:t>
      </w:r>
      <w:r w:rsidR="00E5728E">
        <w:rPr>
          <w:rFonts w:ascii="Arial" w:hAnsi="Arial" w:cs="Arial"/>
        </w:rPr>
        <w:t>will form the basis of future monitoring and reporting.</w:t>
      </w:r>
    </w:p>
    <w:p w14:paraId="7613B41E" w14:textId="77777777" w:rsidR="009208E5" w:rsidRDefault="009208E5" w:rsidP="00A61154">
      <w:pPr>
        <w:spacing w:after="0"/>
        <w:rPr>
          <w:rFonts w:ascii="Arial" w:hAnsi="Arial" w:cs="Arial"/>
        </w:rPr>
      </w:pPr>
    </w:p>
    <w:p w14:paraId="6CF1E4F9" w14:textId="77777777" w:rsidR="00796BF5" w:rsidRDefault="00796BF5" w:rsidP="00A61154">
      <w:pPr>
        <w:spacing w:after="0"/>
        <w:rPr>
          <w:rFonts w:ascii="Arial" w:hAnsi="Arial" w:cs="Arial"/>
          <w:b/>
          <w:bCs/>
        </w:rPr>
      </w:pPr>
      <w:r>
        <w:rPr>
          <w:rFonts w:ascii="Arial" w:hAnsi="Arial" w:cs="Arial"/>
          <w:b/>
          <w:bCs/>
        </w:rPr>
        <w:br w:type="page"/>
      </w:r>
    </w:p>
    <w:p w14:paraId="16EA0AE3" w14:textId="77777777" w:rsidR="00BF50E9" w:rsidRDefault="00BF50E9" w:rsidP="00737AFE">
      <w:pPr>
        <w:spacing w:after="0" w:line="240" w:lineRule="auto"/>
        <w:jc w:val="both"/>
        <w:rPr>
          <w:rFonts w:ascii="Arial" w:hAnsi="Arial" w:cs="Arial"/>
          <w:b/>
          <w:bCs/>
        </w:rPr>
      </w:pPr>
      <w:r w:rsidRPr="00C13E29">
        <w:rPr>
          <w:rFonts w:ascii="Arial" w:hAnsi="Arial" w:cs="Arial"/>
          <w:b/>
          <w:bCs/>
        </w:rPr>
        <w:lastRenderedPageBreak/>
        <w:t>Glossary of Terms</w:t>
      </w:r>
    </w:p>
    <w:p w14:paraId="2BB065A2" w14:textId="77777777" w:rsidR="00BF50E9" w:rsidRPr="00737AFE" w:rsidRDefault="00BF50E9">
      <w:pPr>
        <w:spacing w:after="0" w:line="240" w:lineRule="auto"/>
        <w:rPr>
          <w:rFonts w:ascii="Arial" w:hAnsi="Arial" w:cs="Arial"/>
          <w:b/>
          <w:bCs/>
          <w:sz w:val="8"/>
          <w:szCs w:val="16"/>
        </w:rPr>
      </w:pPr>
    </w:p>
    <w:tbl>
      <w:tblPr>
        <w:tblW w:w="9180" w:type="dxa"/>
        <w:tblBorders>
          <w:top w:val="single" w:sz="4" w:space="0" w:color="000000"/>
          <w:bottom w:val="single" w:sz="4" w:space="0" w:color="000000"/>
          <w:insideH w:val="single" w:sz="4" w:space="0" w:color="000000"/>
        </w:tblBorders>
        <w:tblLook w:val="00A0" w:firstRow="1" w:lastRow="0" w:firstColumn="1" w:lastColumn="0" w:noHBand="0" w:noVBand="0"/>
      </w:tblPr>
      <w:tblGrid>
        <w:gridCol w:w="2660"/>
        <w:gridCol w:w="6520"/>
      </w:tblGrid>
      <w:tr w:rsidR="00BF50E9" w:rsidRPr="00C32C88" w14:paraId="670724F0" w14:textId="77777777" w:rsidTr="0023001E">
        <w:trPr>
          <w:trHeight w:val="1005"/>
        </w:trPr>
        <w:tc>
          <w:tcPr>
            <w:tcW w:w="2660" w:type="dxa"/>
            <w:tcBorders>
              <w:top w:val="single" w:sz="4" w:space="0" w:color="000000"/>
              <w:left w:val="single" w:sz="4" w:space="0" w:color="000000"/>
              <w:bottom w:val="single" w:sz="4" w:space="0" w:color="000000"/>
              <w:right w:val="single" w:sz="4" w:space="0" w:color="000000"/>
            </w:tcBorders>
            <w:vAlign w:val="center"/>
          </w:tcPr>
          <w:p w14:paraId="2937B00D" w14:textId="77777777" w:rsidR="00BF50E9" w:rsidRDefault="00BF50E9" w:rsidP="005D55BB">
            <w:pPr>
              <w:spacing w:after="0" w:line="240" w:lineRule="auto"/>
              <w:rPr>
                <w:rFonts w:ascii="Arial" w:hAnsi="Arial" w:cs="Arial"/>
              </w:rPr>
            </w:pPr>
            <w:r w:rsidRPr="00367304">
              <w:rPr>
                <w:rFonts w:ascii="Arial" w:hAnsi="Arial" w:cs="Arial"/>
              </w:rPr>
              <w:t>Assets</w:t>
            </w:r>
          </w:p>
        </w:tc>
        <w:tc>
          <w:tcPr>
            <w:tcW w:w="6520" w:type="dxa"/>
            <w:tcBorders>
              <w:top w:val="single" w:sz="4" w:space="0" w:color="000000"/>
              <w:bottom w:val="single" w:sz="4" w:space="0" w:color="000000"/>
              <w:right w:val="single" w:sz="4" w:space="0" w:color="000000"/>
            </w:tcBorders>
            <w:vAlign w:val="center"/>
          </w:tcPr>
          <w:p w14:paraId="58699F0A" w14:textId="77777777" w:rsidR="00BF50E9" w:rsidRDefault="00BF50E9" w:rsidP="005D55BB">
            <w:pPr>
              <w:spacing w:after="0" w:line="240" w:lineRule="auto"/>
              <w:rPr>
                <w:rFonts w:ascii="Arial" w:hAnsi="Arial" w:cs="Arial"/>
              </w:rPr>
            </w:pPr>
            <w:r w:rsidRPr="00367304">
              <w:rPr>
                <w:rFonts w:ascii="Arial" w:hAnsi="Arial" w:cs="Arial"/>
              </w:rPr>
              <w:t>Physical plant and equipment used to produce and transfer water, to collect and treat waste</w:t>
            </w:r>
            <w:r>
              <w:rPr>
                <w:rFonts w:ascii="Arial" w:hAnsi="Arial" w:cs="Arial"/>
              </w:rPr>
              <w:t xml:space="preserve"> </w:t>
            </w:r>
            <w:r w:rsidRPr="00367304">
              <w:rPr>
                <w:rFonts w:ascii="Arial" w:hAnsi="Arial" w:cs="Arial"/>
              </w:rPr>
              <w:t>water such as water treatment works and water mains, sewers and sewage works etc.</w:t>
            </w:r>
          </w:p>
        </w:tc>
      </w:tr>
      <w:tr w:rsidR="00BF50E9" w:rsidRPr="00C32C88" w14:paraId="7FF9B8DF" w14:textId="77777777" w:rsidTr="0023001E">
        <w:trPr>
          <w:trHeight w:val="1118"/>
        </w:trPr>
        <w:tc>
          <w:tcPr>
            <w:tcW w:w="2660" w:type="dxa"/>
            <w:tcBorders>
              <w:top w:val="single" w:sz="4" w:space="0" w:color="000000"/>
              <w:left w:val="single" w:sz="4" w:space="0" w:color="000000"/>
              <w:bottom w:val="single" w:sz="4" w:space="0" w:color="000000"/>
              <w:right w:val="single" w:sz="4" w:space="0" w:color="000000"/>
            </w:tcBorders>
            <w:vAlign w:val="center"/>
          </w:tcPr>
          <w:p w14:paraId="1820F105" w14:textId="77777777" w:rsidR="00BF50E9" w:rsidRDefault="00BF50E9" w:rsidP="005D55BB">
            <w:pPr>
              <w:spacing w:after="0" w:line="240" w:lineRule="auto"/>
              <w:rPr>
                <w:rFonts w:ascii="Arial" w:hAnsi="Arial" w:cs="Arial"/>
              </w:rPr>
            </w:pPr>
            <w:r w:rsidRPr="00367304">
              <w:rPr>
                <w:rFonts w:ascii="Arial" w:hAnsi="Arial" w:cs="Arial"/>
              </w:rPr>
              <w:t>Climate Change Adaption and Mitigation</w:t>
            </w:r>
          </w:p>
        </w:tc>
        <w:tc>
          <w:tcPr>
            <w:tcW w:w="6520" w:type="dxa"/>
            <w:tcBorders>
              <w:top w:val="single" w:sz="4" w:space="0" w:color="000000"/>
              <w:bottom w:val="single" w:sz="4" w:space="0" w:color="000000"/>
              <w:right w:val="single" w:sz="4" w:space="0" w:color="000000"/>
            </w:tcBorders>
            <w:vAlign w:val="center"/>
          </w:tcPr>
          <w:p w14:paraId="42CAFA86" w14:textId="77777777" w:rsidR="00BF50E9" w:rsidRDefault="00BF50E9" w:rsidP="005D55BB">
            <w:pPr>
              <w:spacing w:after="0" w:line="240" w:lineRule="auto"/>
              <w:rPr>
                <w:rFonts w:ascii="Arial" w:hAnsi="Arial" w:cs="Arial"/>
              </w:rPr>
            </w:pPr>
            <w:r w:rsidRPr="00367304">
              <w:rPr>
                <w:rFonts w:ascii="Arial" w:hAnsi="Arial" w:cs="Arial"/>
              </w:rPr>
              <w:t xml:space="preserve">‘Adaptation’ is the action taken by Scottish Water to increase the resilience of its assets to climate change variability and extremes whereas ‘mitigation’ </w:t>
            </w:r>
            <w:r>
              <w:rPr>
                <w:rFonts w:ascii="Arial" w:hAnsi="Arial" w:cs="Arial"/>
              </w:rPr>
              <w:t>is</w:t>
            </w:r>
            <w:r w:rsidRPr="00367304">
              <w:rPr>
                <w:rFonts w:ascii="Arial" w:hAnsi="Arial" w:cs="Arial"/>
              </w:rPr>
              <w:t xml:space="preserve"> the steps to permanently eliminate or reduce its carbon emissions associated with its activities.</w:t>
            </w:r>
          </w:p>
        </w:tc>
      </w:tr>
      <w:tr w:rsidR="00BF50E9" w:rsidRPr="00C32C88" w14:paraId="0DACF185" w14:textId="77777777" w:rsidTr="0023001E">
        <w:trPr>
          <w:trHeight w:val="640"/>
        </w:trPr>
        <w:tc>
          <w:tcPr>
            <w:tcW w:w="2660" w:type="dxa"/>
            <w:tcBorders>
              <w:top w:val="single" w:sz="4" w:space="0" w:color="000000"/>
              <w:left w:val="single" w:sz="4" w:space="0" w:color="000000"/>
              <w:bottom w:val="single" w:sz="4" w:space="0" w:color="000000"/>
              <w:right w:val="single" w:sz="4" w:space="0" w:color="000000"/>
            </w:tcBorders>
            <w:vAlign w:val="center"/>
          </w:tcPr>
          <w:p w14:paraId="2A364D2E" w14:textId="77777777" w:rsidR="00BF50E9" w:rsidRDefault="00BF50E9" w:rsidP="005D55BB">
            <w:pPr>
              <w:spacing w:after="0" w:line="240" w:lineRule="auto"/>
              <w:rPr>
                <w:rFonts w:ascii="Arial" w:hAnsi="Arial" w:cs="Arial"/>
              </w:rPr>
            </w:pPr>
            <w:r w:rsidRPr="00367304">
              <w:rPr>
                <w:rFonts w:ascii="Arial" w:hAnsi="Arial" w:cs="Arial"/>
              </w:rPr>
              <w:t>Delivery Plan</w:t>
            </w:r>
          </w:p>
        </w:tc>
        <w:tc>
          <w:tcPr>
            <w:tcW w:w="6520" w:type="dxa"/>
            <w:tcBorders>
              <w:top w:val="single" w:sz="4" w:space="0" w:color="000000"/>
              <w:bottom w:val="single" w:sz="4" w:space="0" w:color="000000"/>
              <w:right w:val="single" w:sz="4" w:space="0" w:color="000000"/>
            </w:tcBorders>
            <w:vAlign w:val="center"/>
          </w:tcPr>
          <w:p w14:paraId="003BB575" w14:textId="77777777" w:rsidR="00BF50E9" w:rsidRDefault="00BF50E9" w:rsidP="005D55BB">
            <w:pPr>
              <w:spacing w:after="0" w:line="240" w:lineRule="auto"/>
              <w:rPr>
                <w:rFonts w:ascii="Arial" w:hAnsi="Arial" w:cs="Arial"/>
              </w:rPr>
            </w:pPr>
            <w:r w:rsidRPr="00367304">
              <w:rPr>
                <w:rFonts w:ascii="Arial" w:hAnsi="Arial" w:cs="Arial"/>
              </w:rPr>
              <w:t xml:space="preserve">Scottish Water’s annual statement of investment outputs and financial targets. </w:t>
            </w:r>
          </w:p>
        </w:tc>
      </w:tr>
      <w:tr w:rsidR="00BF50E9" w:rsidRPr="00C32C88" w14:paraId="109E84B4" w14:textId="77777777" w:rsidTr="0023001E">
        <w:trPr>
          <w:trHeight w:val="690"/>
        </w:trPr>
        <w:tc>
          <w:tcPr>
            <w:tcW w:w="2660" w:type="dxa"/>
            <w:tcBorders>
              <w:top w:val="single" w:sz="4" w:space="0" w:color="000000"/>
              <w:left w:val="single" w:sz="4" w:space="0" w:color="000000"/>
              <w:bottom w:val="single" w:sz="4" w:space="0" w:color="000000"/>
              <w:right w:val="single" w:sz="4" w:space="0" w:color="000000"/>
            </w:tcBorders>
            <w:vAlign w:val="center"/>
          </w:tcPr>
          <w:p w14:paraId="3EBA2EA5" w14:textId="77777777" w:rsidR="00BF50E9" w:rsidRDefault="00BF50E9" w:rsidP="005D55BB">
            <w:pPr>
              <w:spacing w:after="0" w:line="240" w:lineRule="auto"/>
              <w:rPr>
                <w:rFonts w:ascii="Arial" w:hAnsi="Arial" w:cs="Arial"/>
              </w:rPr>
            </w:pPr>
            <w:proofErr w:type="spellStart"/>
            <w:r w:rsidRPr="00367304">
              <w:rPr>
                <w:rFonts w:ascii="Arial" w:hAnsi="Arial" w:cs="Arial"/>
              </w:rPr>
              <w:t>DMA</w:t>
            </w:r>
            <w:proofErr w:type="spellEnd"/>
          </w:p>
        </w:tc>
        <w:tc>
          <w:tcPr>
            <w:tcW w:w="6520" w:type="dxa"/>
            <w:tcBorders>
              <w:top w:val="single" w:sz="4" w:space="0" w:color="000000"/>
              <w:bottom w:val="single" w:sz="4" w:space="0" w:color="000000"/>
              <w:right w:val="single" w:sz="4" w:space="0" w:color="000000"/>
            </w:tcBorders>
            <w:vAlign w:val="center"/>
          </w:tcPr>
          <w:p w14:paraId="079C420C" w14:textId="77777777" w:rsidR="00BF50E9" w:rsidRDefault="00BF50E9" w:rsidP="005D55BB">
            <w:pPr>
              <w:spacing w:after="0" w:line="240" w:lineRule="auto"/>
              <w:rPr>
                <w:rFonts w:ascii="Arial" w:hAnsi="Arial" w:cs="Arial"/>
              </w:rPr>
            </w:pPr>
            <w:r w:rsidRPr="00367304">
              <w:rPr>
                <w:rFonts w:ascii="Arial" w:hAnsi="Arial" w:cs="Arial"/>
              </w:rPr>
              <w:t>District meter areas (</w:t>
            </w:r>
            <w:proofErr w:type="spellStart"/>
            <w:r w:rsidRPr="00367304">
              <w:rPr>
                <w:rFonts w:ascii="Arial" w:hAnsi="Arial" w:cs="Arial"/>
              </w:rPr>
              <w:t>DMA</w:t>
            </w:r>
            <w:proofErr w:type="spellEnd"/>
            <w:r w:rsidRPr="00367304">
              <w:rPr>
                <w:rFonts w:ascii="Arial" w:hAnsi="Arial" w:cs="Arial"/>
              </w:rPr>
              <w:t xml:space="preserve">) help to identify any localised leakage by the installation of online flow monitors. </w:t>
            </w:r>
          </w:p>
        </w:tc>
      </w:tr>
      <w:tr w:rsidR="00B0223A" w:rsidRPr="00C32C88" w14:paraId="4A103A2E" w14:textId="77777777" w:rsidTr="0023001E">
        <w:trPr>
          <w:trHeight w:val="773"/>
        </w:trPr>
        <w:tc>
          <w:tcPr>
            <w:tcW w:w="2660" w:type="dxa"/>
            <w:tcBorders>
              <w:top w:val="single" w:sz="4" w:space="0" w:color="000000"/>
              <w:left w:val="single" w:sz="4" w:space="0" w:color="000000"/>
              <w:bottom w:val="single" w:sz="4" w:space="0" w:color="000000"/>
              <w:right w:val="single" w:sz="4" w:space="0" w:color="000000"/>
            </w:tcBorders>
            <w:vAlign w:val="center"/>
          </w:tcPr>
          <w:p w14:paraId="2C55A5AA" w14:textId="77777777" w:rsidR="00B0223A" w:rsidRDefault="00B0223A" w:rsidP="005D55BB">
            <w:pPr>
              <w:spacing w:after="0" w:line="240" w:lineRule="auto"/>
              <w:rPr>
                <w:rFonts w:ascii="Arial" w:hAnsi="Arial" w:cs="Arial"/>
              </w:rPr>
            </w:pPr>
            <w:r>
              <w:rPr>
                <w:rFonts w:ascii="Arial" w:hAnsi="Arial" w:cs="Arial"/>
              </w:rPr>
              <w:t>Intervention Definition Process (</w:t>
            </w:r>
            <w:proofErr w:type="spellStart"/>
            <w:r>
              <w:rPr>
                <w:rFonts w:ascii="Arial" w:hAnsi="Arial" w:cs="Arial"/>
              </w:rPr>
              <w:t>IDP</w:t>
            </w:r>
            <w:proofErr w:type="spellEnd"/>
            <w:r>
              <w:rPr>
                <w:rFonts w:ascii="Arial" w:hAnsi="Arial" w:cs="Arial"/>
              </w:rPr>
              <w:t>)</w:t>
            </w:r>
          </w:p>
        </w:tc>
        <w:tc>
          <w:tcPr>
            <w:tcW w:w="6520" w:type="dxa"/>
            <w:tcBorders>
              <w:top w:val="single" w:sz="4" w:space="0" w:color="000000"/>
              <w:bottom w:val="single" w:sz="4" w:space="0" w:color="000000"/>
              <w:right w:val="single" w:sz="4" w:space="0" w:color="000000"/>
            </w:tcBorders>
            <w:vAlign w:val="center"/>
          </w:tcPr>
          <w:p w14:paraId="6CC12E0A" w14:textId="77777777" w:rsidR="00B0223A" w:rsidRPr="00367304" w:rsidRDefault="00201D13">
            <w:pPr>
              <w:spacing w:after="0" w:line="240" w:lineRule="auto"/>
              <w:rPr>
                <w:rFonts w:ascii="Arial" w:hAnsi="Arial" w:cs="Arial"/>
              </w:rPr>
            </w:pPr>
            <w:r>
              <w:rPr>
                <w:rFonts w:ascii="Arial" w:hAnsi="Arial" w:cs="Arial"/>
              </w:rPr>
              <w:t>Scottish Water’s process to i</w:t>
            </w:r>
            <w:r w:rsidRPr="00201D13">
              <w:rPr>
                <w:rFonts w:ascii="Arial" w:hAnsi="Arial" w:cs="Arial"/>
              </w:rPr>
              <w:t>dentify scope options</w:t>
            </w:r>
            <w:r>
              <w:rPr>
                <w:rFonts w:ascii="Arial" w:hAnsi="Arial" w:cs="Arial"/>
              </w:rPr>
              <w:t xml:space="preserve"> and </w:t>
            </w:r>
            <w:r w:rsidRPr="00201D13">
              <w:rPr>
                <w:rFonts w:ascii="Arial" w:hAnsi="Arial" w:cs="Arial"/>
              </w:rPr>
              <w:t xml:space="preserve">select preferred option </w:t>
            </w:r>
            <w:r>
              <w:rPr>
                <w:rFonts w:ascii="Arial" w:hAnsi="Arial" w:cs="Arial"/>
              </w:rPr>
              <w:t>to achieve the outcome required.</w:t>
            </w:r>
          </w:p>
        </w:tc>
      </w:tr>
      <w:tr w:rsidR="00B0223A" w:rsidRPr="00C32C88" w14:paraId="07800E6F" w14:textId="77777777" w:rsidTr="0023001E">
        <w:trPr>
          <w:trHeight w:val="711"/>
        </w:trPr>
        <w:tc>
          <w:tcPr>
            <w:tcW w:w="2660" w:type="dxa"/>
            <w:tcBorders>
              <w:top w:val="single" w:sz="4" w:space="0" w:color="000000"/>
              <w:left w:val="single" w:sz="4" w:space="0" w:color="000000"/>
              <w:bottom w:val="single" w:sz="4" w:space="0" w:color="000000"/>
              <w:right w:val="single" w:sz="4" w:space="0" w:color="000000"/>
            </w:tcBorders>
            <w:vAlign w:val="center"/>
          </w:tcPr>
          <w:p w14:paraId="6B94DCFC" w14:textId="77777777" w:rsidR="00B0223A" w:rsidRPr="00367304" w:rsidRDefault="00B0223A" w:rsidP="005D55BB">
            <w:pPr>
              <w:spacing w:after="0" w:line="240" w:lineRule="auto"/>
              <w:rPr>
                <w:rFonts w:ascii="Arial" w:hAnsi="Arial" w:cs="Arial"/>
              </w:rPr>
            </w:pPr>
            <w:proofErr w:type="spellStart"/>
            <w:r>
              <w:rPr>
                <w:rFonts w:ascii="Arial" w:hAnsi="Arial" w:cs="Arial"/>
              </w:rPr>
              <w:t>IR18</w:t>
            </w:r>
            <w:proofErr w:type="spellEnd"/>
          </w:p>
        </w:tc>
        <w:tc>
          <w:tcPr>
            <w:tcW w:w="6520" w:type="dxa"/>
            <w:tcBorders>
              <w:top w:val="single" w:sz="4" w:space="0" w:color="000000"/>
              <w:bottom w:val="single" w:sz="4" w:space="0" w:color="000000"/>
              <w:right w:val="single" w:sz="4" w:space="0" w:color="000000"/>
            </w:tcBorders>
            <w:vAlign w:val="center"/>
          </w:tcPr>
          <w:p w14:paraId="48EEAD6D" w14:textId="77777777" w:rsidR="00B0223A" w:rsidRPr="00367304" w:rsidRDefault="00201D13">
            <w:pPr>
              <w:spacing w:after="0" w:line="240" w:lineRule="auto"/>
              <w:rPr>
                <w:rFonts w:ascii="Arial" w:hAnsi="Arial" w:cs="Arial"/>
              </w:rPr>
            </w:pPr>
            <w:r>
              <w:rPr>
                <w:rFonts w:ascii="Arial" w:hAnsi="Arial" w:cs="Arial"/>
              </w:rPr>
              <w:t>Rolling Investment Review 2018 to consider priorities and outputs for the 2018-21 period and beyond.</w:t>
            </w:r>
          </w:p>
        </w:tc>
      </w:tr>
      <w:tr w:rsidR="00BF50E9" w:rsidRPr="00C32C88" w14:paraId="3E6DF602" w14:textId="77777777" w:rsidTr="0023001E">
        <w:tc>
          <w:tcPr>
            <w:tcW w:w="2660" w:type="dxa"/>
            <w:tcBorders>
              <w:top w:val="single" w:sz="4" w:space="0" w:color="000000"/>
              <w:left w:val="single" w:sz="4" w:space="0" w:color="000000"/>
              <w:bottom w:val="single" w:sz="4" w:space="0" w:color="000000"/>
              <w:right w:val="single" w:sz="4" w:space="0" w:color="000000"/>
            </w:tcBorders>
            <w:vAlign w:val="center"/>
          </w:tcPr>
          <w:p w14:paraId="56B67803" w14:textId="77777777" w:rsidR="00BF50E9" w:rsidRDefault="00BF50E9" w:rsidP="005D55BB">
            <w:pPr>
              <w:spacing w:after="0" w:line="240" w:lineRule="auto"/>
              <w:rPr>
                <w:rFonts w:ascii="Arial" w:hAnsi="Arial" w:cs="Arial"/>
              </w:rPr>
            </w:pPr>
            <w:r w:rsidRPr="00367304">
              <w:rPr>
                <w:rFonts w:ascii="Arial" w:hAnsi="Arial" w:cs="Arial"/>
              </w:rPr>
              <w:t>Leakage</w:t>
            </w:r>
          </w:p>
        </w:tc>
        <w:tc>
          <w:tcPr>
            <w:tcW w:w="6520" w:type="dxa"/>
            <w:tcBorders>
              <w:top w:val="single" w:sz="4" w:space="0" w:color="000000"/>
              <w:bottom w:val="single" w:sz="4" w:space="0" w:color="000000"/>
              <w:right w:val="single" w:sz="4" w:space="0" w:color="000000"/>
            </w:tcBorders>
            <w:vAlign w:val="center"/>
          </w:tcPr>
          <w:p w14:paraId="3126F411" w14:textId="77777777" w:rsidR="00BF50E9" w:rsidRDefault="00BF50E9" w:rsidP="005D55BB">
            <w:pPr>
              <w:spacing w:after="0" w:line="240" w:lineRule="auto"/>
              <w:rPr>
                <w:rFonts w:ascii="Arial" w:hAnsi="Arial" w:cs="Arial"/>
              </w:rPr>
            </w:pPr>
            <w:r w:rsidRPr="00367304">
              <w:rPr>
                <w:rFonts w:ascii="Arial" w:hAnsi="Arial" w:cs="Arial"/>
              </w:rPr>
              <w:t>The water lost from Scottish Water’s network of water pipes and its assets (service reservoirs etc.) between putting water into sup</w:t>
            </w:r>
            <w:r>
              <w:rPr>
                <w:rFonts w:ascii="Arial" w:hAnsi="Arial" w:cs="Arial"/>
              </w:rPr>
              <w:t>ply and it arriving at customer</w:t>
            </w:r>
            <w:r w:rsidRPr="00367304">
              <w:rPr>
                <w:rFonts w:ascii="Arial" w:hAnsi="Arial" w:cs="Arial"/>
              </w:rPr>
              <w:t xml:space="preserve"> taps. </w:t>
            </w:r>
          </w:p>
        </w:tc>
      </w:tr>
      <w:tr w:rsidR="00BF50E9" w:rsidRPr="00C32C88" w14:paraId="06DAE78B" w14:textId="77777777" w:rsidTr="0023001E">
        <w:trPr>
          <w:trHeight w:val="654"/>
        </w:trPr>
        <w:tc>
          <w:tcPr>
            <w:tcW w:w="2660" w:type="dxa"/>
            <w:tcBorders>
              <w:top w:val="single" w:sz="4" w:space="0" w:color="000000"/>
              <w:left w:val="single" w:sz="4" w:space="0" w:color="000000"/>
              <w:bottom w:val="single" w:sz="4" w:space="0" w:color="000000"/>
              <w:right w:val="single" w:sz="4" w:space="0" w:color="000000"/>
            </w:tcBorders>
            <w:vAlign w:val="center"/>
          </w:tcPr>
          <w:p w14:paraId="1B838FA8" w14:textId="77777777" w:rsidR="00BF50E9" w:rsidRDefault="00BF50E9" w:rsidP="005D55BB">
            <w:pPr>
              <w:spacing w:after="0" w:line="240" w:lineRule="auto"/>
              <w:rPr>
                <w:rFonts w:ascii="Arial" w:hAnsi="Arial" w:cs="Arial"/>
              </w:rPr>
            </w:pPr>
            <w:r w:rsidRPr="00367304">
              <w:rPr>
                <w:rFonts w:ascii="Arial" w:hAnsi="Arial" w:cs="Arial"/>
              </w:rPr>
              <w:t>Ministerial Objectives</w:t>
            </w:r>
          </w:p>
        </w:tc>
        <w:tc>
          <w:tcPr>
            <w:tcW w:w="6520" w:type="dxa"/>
            <w:tcBorders>
              <w:top w:val="single" w:sz="4" w:space="0" w:color="000000"/>
              <w:bottom w:val="single" w:sz="4" w:space="0" w:color="000000"/>
              <w:right w:val="single" w:sz="4" w:space="0" w:color="000000"/>
            </w:tcBorders>
            <w:vAlign w:val="center"/>
          </w:tcPr>
          <w:p w14:paraId="212AED36" w14:textId="77777777" w:rsidR="00BF50E9" w:rsidRDefault="00BF50E9" w:rsidP="005D55BB">
            <w:pPr>
              <w:spacing w:after="0" w:line="240" w:lineRule="auto"/>
              <w:rPr>
                <w:rFonts w:ascii="Arial" w:hAnsi="Arial" w:cs="Arial"/>
              </w:rPr>
            </w:pPr>
            <w:r w:rsidRPr="00367304">
              <w:rPr>
                <w:rFonts w:ascii="Arial" w:hAnsi="Arial" w:cs="Arial"/>
              </w:rPr>
              <w:t xml:space="preserve">A statement of requirements (deliverables) set out by Scottish Ministers. </w:t>
            </w:r>
          </w:p>
        </w:tc>
      </w:tr>
      <w:tr w:rsidR="00BF50E9" w:rsidRPr="00C32C88" w14:paraId="3224D966" w14:textId="77777777" w:rsidTr="0023001E">
        <w:trPr>
          <w:trHeight w:val="686"/>
        </w:trPr>
        <w:tc>
          <w:tcPr>
            <w:tcW w:w="2660" w:type="dxa"/>
            <w:tcBorders>
              <w:top w:val="single" w:sz="4" w:space="0" w:color="000000"/>
              <w:left w:val="single" w:sz="4" w:space="0" w:color="000000"/>
              <w:bottom w:val="single" w:sz="4" w:space="0" w:color="000000"/>
              <w:right w:val="single" w:sz="4" w:space="0" w:color="000000"/>
            </w:tcBorders>
            <w:vAlign w:val="center"/>
          </w:tcPr>
          <w:p w14:paraId="16F17872" w14:textId="77777777" w:rsidR="00BF50E9" w:rsidRDefault="00BF50E9" w:rsidP="005D55BB">
            <w:pPr>
              <w:spacing w:after="0" w:line="240" w:lineRule="auto"/>
              <w:rPr>
                <w:rFonts w:ascii="Arial" w:hAnsi="Arial" w:cs="Arial"/>
              </w:rPr>
            </w:pPr>
            <w:r w:rsidRPr="00367304">
              <w:rPr>
                <w:rFonts w:ascii="Arial" w:hAnsi="Arial" w:cs="Arial"/>
              </w:rPr>
              <w:t>Outputs</w:t>
            </w:r>
          </w:p>
        </w:tc>
        <w:tc>
          <w:tcPr>
            <w:tcW w:w="6520" w:type="dxa"/>
            <w:tcBorders>
              <w:top w:val="single" w:sz="4" w:space="0" w:color="000000"/>
              <w:bottom w:val="single" w:sz="4" w:space="0" w:color="000000"/>
              <w:right w:val="single" w:sz="4" w:space="0" w:color="000000"/>
            </w:tcBorders>
            <w:vAlign w:val="center"/>
          </w:tcPr>
          <w:p w14:paraId="48A662B0" w14:textId="77777777" w:rsidR="00BF50E9" w:rsidRDefault="00BF50E9" w:rsidP="005D55BB">
            <w:pPr>
              <w:spacing w:after="0" w:line="240" w:lineRule="auto"/>
              <w:rPr>
                <w:rFonts w:ascii="Arial" w:hAnsi="Arial" w:cs="Arial"/>
              </w:rPr>
            </w:pPr>
            <w:r w:rsidRPr="00367304">
              <w:rPr>
                <w:rFonts w:ascii="Arial" w:hAnsi="Arial" w:cs="Arial"/>
              </w:rPr>
              <w:t>Tangible deliverables, such as an improved waste</w:t>
            </w:r>
            <w:r>
              <w:rPr>
                <w:rFonts w:ascii="Arial" w:hAnsi="Arial" w:cs="Arial"/>
              </w:rPr>
              <w:t xml:space="preserve"> </w:t>
            </w:r>
            <w:r w:rsidRPr="00367304">
              <w:rPr>
                <w:rFonts w:ascii="Arial" w:hAnsi="Arial" w:cs="Arial"/>
              </w:rPr>
              <w:t xml:space="preserve">water treatment facility, which benefit customers, the environment or both. </w:t>
            </w:r>
          </w:p>
        </w:tc>
      </w:tr>
      <w:tr w:rsidR="00BF50E9" w:rsidRPr="00C32C88" w14:paraId="6EB955B1" w14:textId="77777777" w:rsidTr="0023001E">
        <w:trPr>
          <w:trHeight w:val="692"/>
        </w:trPr>
        <w:tc>
          <w:tcPr>
            <w:tcW w:w="2660" w:type="dxa"/>
            <w:tcBorders>
              <w:top w:val="single" w:sz="4" w:space="0" w:color="000000"/>
              <w:left w:val="single" w:sz="4" w:space="0" w:color="000000"/>
              <w:bottom w:val="single" w:sz="4" w:space="0" w:color="000000"/>
              <w:right w:val="single" w:sz="4" w:space="0" w:color="000000"/>
            </w:tcBorders>
            <w:vAlign w:val="center"/>
          </w:tcPr>
          <w:p w14:paraId="4AB4E144" w14:textId="77777777" w:rsidR="00BF50E9" w:rsidRDefault="00BF50E9" w:rsidP="005D55BB">
            <w:pPr>
              <w:spacing w:after="0" w:line="240" w:lineRule="auto"/>
              <w:rPr>
                <w:rFonts w:ascii="Arial" w:hAnsi="Arial" w:cs="Arial"/>
              </w:rPr>
            </w:pPr>
            <w:r w:rsidRPr="00367304">
              <w:rPr>
                <w:rFonts w:ascii="Arial" w:hAnsi="Arial" w:cs="Arial"/>
              </w:rPr>
              <w:t>Output Monitoring Group (OMG)</w:t>
            </w:r>
          </w:p>
        </w:tc>
        <w:tc>
          <w:tcPr>
            <w:tcW w:w="6520" w:type="dxa"/>
            <w:tcBorders>
              <w:top w:val="single" w:sz="4" w:space="0" w:color="000000"/>
              <w:bottom w:val="single" w:sz="4" w:space="0" w:color="000000"/>
              <w:right w:val="single" w:sz="4" w:space="0" w:color="000000"/>
            </w:tcBorders>
            <w:vAlign w:val="center"/>
          </w:tcPr>
          <w:p w14:paraId="1832C4EC" w14:textId="77777777" w:rsidR="00BF50E9" w:rsidRDefault="00BF50E9" w:rsidP="005D55BB">
            <w:pPr>
              <w:spacing w:after="0" w:line="240" w:lineRule="auto"/>
              <w:rPr>
                <w:rFonts w:ascii="Arial" w:hAnsi="Arial" w:cs="Arial"/>
              </w:rPr>
            </w:pPr>
            <w:r w:rsidRPr="00367304">
              <w:rPr>
                <w:rFonts w:ascii="Arial" w:hAnsi="Arial" w:cs="Arial"/>
              </w:rPr>
              <w:t xml:space="preserve">Representatives of Scotland’s water industry who are accountable for the monitoring the progress of output delivery.  </w:t>
            </w:r>
          </w:p>
        </w:tc>
      </w:tr>
      <w:tr w:rsidR="00BF50E9" w:rsidRPr="00C32C88" w14:paraId="26FA7202" w14:textId="77777777" w:rsidTr="0023001E">
        <w:trPr>
          <w:trHeight w:val="702"/>
        </w:trPr>
        <w:tc>
          <w:tcPr>
            <w:tcW w:w="2660" w:type="dxa"/>
            <w:tcBorders>
              <w:top w:val="single" w:sz="4" w:space="0" w:color="000000"/>
              <w:left w:val="single" w:sz="4" w:space="0" w:color="000000"/>
              <w:bottom w:val="single" w:sz="4" w:space="0" w:color="000000"/>
              <w:right w:val="single" w:sz="4" w:space="0" w:color="000000"/>
            </w:tcBorders>
            <w:vAlign w:val="center"/>
          </w:tcPr>
          <w:p w14:paraId="57195DD6" w14:textId="77777777" w:rsidR="00BF50E9" w:rsidRDefault="00BF50E9" w:rsidP="005D55BB">
            <w:pPr>
              <w:spacing w:after="0" w:line="240" w:lineRule="auto"/>
              <w:rPr>
                <w:rFonts w:ascii="Arial" w:hAnsi="Arial" w:cs="Arial"/>
              </w:rPr>
            </w:pPr>
            <w:r w:rsidRPr="00367304">
              <w:rPr>
                <w:rFonts w:ascii="Arial" w:hAnsi="Arial" w:cs="Arial"/>
              </w:rPr>
              <w:t>Overall Measure of Delivery (OMD)</w:t>
            </w:r>
          </w:p>
        </w:tc>
        <w:tc>
          <w:tcPr>
            <w:tcW w:w="6520" w:type="dxa"/>
            <w:tcBorders>
              <w:top w:val="single" w:sz="4" w:space="0" w:color="000000"/>
              <w:bottom w:val="single" w:sz="4" w:space="0" w:color="000000"/>
              <w:right w:val="single" w:sz="4" w:space="0" w:color="000000"/>
            </w:tcBorders>
            <w:vAlign w:val="center"/>
          </w:tcPr>
          <w:p w14:paraId="0331C25F" w14:textId="77777777" w:rsidR="00BF50E9" w:rsidRDefault="00BF50E9" w:rsidP="005D55BB">
            <w:pPr>
              <w:spacing w:after="0" w:line="240" w:lineRule="auto"/>
              <w:rPr>
                <w:rFonts w:ascii="Arial" w:hAnsi="Arial" w:cs="Arial"/>
              </w:rPr>
            </w:pPr>
            <w:r w:rsidRPr="00367304">
              <w:rPr>
                <w:rFonts w:ascii="Arial" w:hAnsi="Arial" w:cs="Arial"/>
              </w:rPr>
              <w:t>The metric used to assess Scottish Water’s delivery of its investment-related outputs.</w:t>
            </w:r>
          </w:p>
        </w:tc>
      </w:tr>
      <w:tr w:rsidR="00BF50E9" w:rsidRPr="00C32C88" w14:paraId="57BDF39C" w14:textId="77777777" w:rsidTr="0023001E">
        <w:trPr>
          <w:trHeight w:val="978"/>
        </w:trPr>
        <w:tc>
          <w:tcPr>
            <w:tcW w:w="2660" w:type="dxa"/>
            <w:tcBorders>
              <w:top w:val="single" w:sz="4" w:space="0" w:color="000000"/>
              <w:left w:val="single" w:sz="4" w:space="0" w:color="000000"/>
              <w:bottom w:val="single" w:sz="4" w:space="0" w:color="000000"/>
              <w:right w:val="single" w:sz="4" w:space="0" w:color="000000"/>
            </w:tcBorders>
            <w:vAlign w:val="center"/>
          </w:tcPr>
          <w:p w14:paraId="70F472BE" w14:textId="77777777" w:rsidR="00BF50E9" w:rsidRDefault="00BF50E9" w:rsidP="005D55BB">
            <w:pPr>
              <w:spacing w:after="0" w:line="240" w:lineRule="auto"/>
              <w:rPr>
                <w:rFonts w:ascii="Arial" w:hAnsi="Arial" w:cs="Arial"/>
              </w:rPr>
            </w:pPr>
            <w:r w:rsidRPr="00367304">
              <w:rPr>
                <w:rFonts w:ascii="Arial" w:hAnsi="Arial" w:cs="Arial"/>
              </w:rPr>
              <w:t>Overall Performance Assessment (</w:t>
            </w:r>
            <w:proofErr w:type="spellStart"/>
            <w:r w:rsidRPr="00367304">
              <w:rPr>
                <w:rFonts w:ascii="Arial" w:hAnsi="Arial" w:cs="Arial"/>
              </w:rPr>
              <w:t>OPA</w:t>
            </w:r>
            <w:proofErr w:type="spellEnd"/>
            <w:r w:rsidRPr="00367304">
              <w:rPr>
                <w:rFonts w:ascii="Arial" w:hAnsi="Arial" w:cs="Arial"/>
              </w:rPr>
              <w:t xml:space="preserve">) Score </w:t>
            </w:r>
          </w:p>
        </w:tc>
        <w:tc>
          <w:tcPr>
            <w:tcW w:w="6520" w:type="dxa"/>
            <w:tcBorders>
              <w:top w:val="single" w:sz="4" w:space="0" w:color="000000"/>
              <w:bottom w:val="single" w:sz="4" w:space="0" w:color="000000"/>
              <w:right w:val="single" w:sz="4" w:space="0" w:color="000000"/>
            </w:tcBorders>
            <w:vAlign w:val="center"/>
          </w:tcPr>
          <w:p w14:paraId="6CE2E6D2" w14:textId="77777777" w:rsidR="00BF50E9" w:rsidRDefault="00BF50E9" w:rsidP="005D55BB">
            <w:pPr>
              <w:spacing w:after="0" w:line="240" w:lineRule="auto"/>
              <w:rPr>
                <w:rFonts w:ascii="Arial" w:hAnsi="Arial" w:cs="Arial"/>
              </w:rPr>
            </w:pPr>
            <w:r w:rsidRPr="00367304">
              <w:rPr>
                <w:rFonts w:ascii="Arial" w:hAnsi="Arial" w:cs="Arial"/>
              </w:rPr>
              <w:t>A comparative overview of company performance which is calculated each year.  It covers measures of water supply, sewerage service, customer service and environmental performance.</w:t>
            </w:r>
          </w:p>
        </w:tc>
      </w:tr>
      <w:tr w:rsidR="00BF50E9" w:rsidRPr="00C32C88" w14:paraId="72F742DA" w14:textId="77777777" w:rsidTr="0023001E">
        <w:trPr>
          <w:trHeight w:val="1125"/>
        </w:trPr>
        <w:tc>
          <w:tcPr>
            <w:tcW w:w="2660" w:type="dxa"/>
            <w:tcBorders>
              <w:top w:val="single" w:sz="4" w:space="0" w:color="000000"/>
              <w:left w:val="single" w:sz="4" w:space="0" w:color="000000"/>
              <w:bottom w:val="single" w:sz="4" w:space="0" w:color="000000"/>
              <w:right w:val="single" w:sz="4" w:space="0" w:color="000000"/>
            </w:tcBorders>
            <w:vAlign w:val="center"/>
          </w:tcPr>
          <w:p w14:paraId="2D37821D" w14:textId="77777777" w:rsidR="00BF50E9" w:rsidRDefault="00BF50E9" w:rsidP="005D55BB">
            <w:pPr>
              <w:spacing w:after="0" w:line="240" w:lineRule="auto"/>
              <w:rPr>
                <w:rFonts w:ascii="Arial" w:hAnsi="Arial" w:cs="Arial"/>
              </w:rPr>
            </w:pPr>
            <w:proofErr w:type="spellStart"/>
            <w:r w:rsidRPr="00367304">
              <w:rPr>
                <w:rFonts w:ascii="Arial" w:hAnsi="Arial" w:cs="Arial"/>
              </w:rPr>
              <w:t>UID</w:t>
            </w:r>
            <w:proofErr w:type="spellEnd"/>
          </w:p>
        </w:tc>
        <w:tc>
          <w:tcPr>
            <w:tcW w:w="6520" w:type="dxa"/>
            <w:tcBorders>
              <w:top w:val="single" w:sz="4" w:space="0" w:color="000000"/>
              <w:bottom w:val="single" w:sz="4" w:space="0" w:color="000000"/>
              <w:right w:val="single" w:sz="4" w:space="0" w:color="000000"/>
            </w:tcBorders>
            <w:vAlign w:val="center"/>
          </w:tcPr>
          <w:p w14:paraId="45874F3A" w14:textId="77777777" w:rsidR="00BF50E9" w:rsidRDefault="00BF50E9" w:rsidP="005D55BB">
            <w:pPr>
              <w:spacing w:after="0" w:line="240" w:lineRule="auto"/>
              <w:rPr>
                <w:rFonts w:ascii="Arial" w:hAnsi="Arial" w:cs="Arial"/>
              </w:rPr>
            </w:pPr>
            <w:r w:rsidRPr="00367304">
              <w:rPr>
                <w:rFonts w:ascii="Arial" w:hAnsi="Arial" w:cs="Arial"/>
              </w:rPr>
              <w:t>Unsatisfactory Intermittent Discharges.  An overflow on the sewer network that requires to be improved so as to meet environmental standards for the water body into which it discharges or which it affects.</w:t>
            </w:r>
          </w:p>
        </w:tc>
      </w:tr>
      <w:tr w:rsidR="00621E1D" w:rsidRPr="00C32C88" w14:paraId="0A17268A" w14:textId="77777777" w:rsidTr="0023001E">
        <w:trPr>
          <w:trHeight w:val="702"/>
        </w:trPr>
        <w:tc>
          <w:tcPr>
            <w:tcW w:w="2660" w:type="dxa"/>
            <w:tcBorders>
              <w:top w:val="single" w:sz="4" w:space="0" w:color="000000"/>
              <w:left w:val="single" w:sz="4" w:space="0" w:color="000000"/>
              <w:bottom w:val="single" w:sz="4" w:space="0" w:color="000000"/>
              <w:right w:val="single" w:sz="4" w:space="0" w:color="000000"/>
            </w:tcBorders>
            <w:vAlign w:val="center"/>
          </w:tcPr>
          <w:p w14:paraId="12CC9CC9" w14:textId="77777777" w:rsidR="00621E1D" w:rsidRPr="00367304" w:rsidRDefault="00621E1D" w:rsidP="005D55BB">
            <w:pPr>
              <w:spacing w:after="0" w:line="240" w:lineRule="auto"/>
              <w:rPr>
                <w:rFonts w:ascii="Arial" w:hAnsi="Arial" w:cs="Arial"/>
              </w:rPr>
            </w:pPr>
            <w:r>
              <w:rPr>
                <w:rFonts w:ascii="Arial" w:hAnsi="Arial" w:cs="Arial"/>
              </w:rPr>
              <w:t>UWWTD</w:t>
            </w:r>
          </w:p>
        </w:tc>
        <w:tc>
          <w:tcPr>
            <w:tcW w:w="6520" w:type="dxa"/>
            <w:tcBorders>
              <w:top w:val="single" w:sz="4" w:space="0" w:color="000000"/>
              <w:bottom w:val="single" w:sz="4" w:space="0" w:color="000000"/>
              <w:right w:val="single" w:sz="4" w:space="0" w:color="000000"/>
            </w:tcBorders>
            <w:vAlign w:val="center"/>
          </w:tcPr>
          <w:p w14:paraId="4EA77A99" w14:textId="77777777" w:rsidR="00621E1D" w:rsidRPr="00367304" w:rsidRDefault="005D55BB" w:rsidP="005D55BB">
            <w:pPr>
              <w:spacing w:after="0" w:line="240" w:lineRule="auto"/>
              <w:rPr>
                <w:rFonts w:ascii="Arial" w:hAnsi="Arial" w:cs="Arial"/>
              </w:rPr>
            </w:pPr>
            <w:r>
              <w:rPr>
                <w:rFonts w:ascii="Arial" w:hAnsi="Arial" w:cs="Arial"/>
              </w:rPr>
              <w:t xml:space="preserve">The Urban Waste Water Treatment Directive </w:t>
            </w:r>
            <w:r w:rsidR="00EF396E" w:rsidRPr="00EF396E">
              <w:rPr>
                <w:rFonts w:ascii="Arial" w:hAnsi="Arial" w:cs="Arial"/>
              </w:rPr>
              <w:t>is a European Union directive concerning the "collection, treatment and discharge of urban waste water and the treatment and discharge of waste water fr</w:t>
            </w:r>
            <w:r w:rsidR="00EF396E">
              <w:rPr>
                <w:rFonts w:ascii="Arial" w:hAnsi="Arial" w:cs="Arial"/>
              </w:rPr>
              <w:t>om certain industrial sectors".</w:t>
            </w:r>
          </w:p>
        </w:tc>
      </w:tr>
      <w:tr w:rsidR="00BF50E9" w:rsidRPr="00C32C88" w14:paraId="59ABEE31" w14:textId="77777777" w:rsidTr="0023001E">
        <w:trPr>
          <w:trHeight w:val="698"/>
        </w:trPr>
        <w:tc>
          <w:tcPr>
            <w:tcW w:w="2660" w:type="dxa"/>
            <w:tcBorders>
              <w:top w:val="single" w:sz="4" w:space="0" w:color="000000"/>
              <w:left w:val="single" w:sz="4" w:space="0" w:color="000000"/>
              <w:bottom w:val="single" w:sz="4" w:space="0" w:color="000000"/>
              <w:right w:val="single" w:sz="4" w:space="0" w:color="000000"/>
            </w:tcBorders>
            <w:vAlign w:val="center"/>
          </w:tcPr>
          <w:p w14:paraId="352E1F46" w14:textId="77777777" w:rsidR="00BF50E9" w:rsidRDefault="00BF50E9" w:rsidP="005D55BB">
            <w:pPr>
              <w:spacing w:after="0" w:line="240" w:lineRule="auto"/>
              <w:rPr>
                <w:rFonts w:ascii="Arial" w:hAnsi="Arial" w:cs="Arial"/>
              </w:rPr>
            </w:pPr>
            <w:r w:rsidRPr="00367304">
              <w:rPr>
                <w:rFonts w:ascii="Arial" w:hAnsi="Arial" w:cs="Arial"/>
              </w:rPr>
              <w:t>WWTW</w:t>
            </w:r>
          </w:p>
        </w:tc>
        <w:tc>
          <w:tcPr>
            <w:tcW w:w="6520" w:type="dxa"/>
            <w:tcBorders>
              <w:top w:val="single" w:sz="4" w:space="0" w:color="000000"/>
              <w:bottom w:val="single" w:sz="4" w:space="0" w:color="000000"/>
              <w:right w:val="single" w:sz="4" w:space="0" w:color="000000"/>
            </w:tcBorders>
            <w:vAlign w:val="center"/>
          </w:tcPr>
          <w:p w14:paraId="4572A189" w14:textId="77777777" w:rsidR="00BF50E9" w:rsidRDefault="00BF50E9" w:rsidP="005D55BB">
            <w:pPr>
              <w:spacing w:after="0" w:line="240" w:lineRule="auto"/>
              <w:rPr>
                <w:rFonts w:ascii="Arial" w:hAnsi="Arial" w:cs="Arial"/>
              </w:rPr>
            </w:pPr>
            <w:r w:rsidRPr="00367304">
              <w:rPr>
                <w:rFonts w:ascii="Arial" w:hAnsi="Arial" w:cs="Arial"/>
              </w:rPr>
              <w:t>A waste water treatment works (WWTW) treats waste water before returning it to the environment.</w:t>
            </w:r>
          </w:p>
        </w:tc>
      </w:tr>
    </w:tbl>
    <w:p w14:paraId="33DDBD72" w14:textId="77777777" w:rsidR="00926924" w:rsidRPr="006068A8" w:rsidRDefault="00A61154" w:rsidP="00A61154">
      <w:pPr>
        <w:tabs>
          <w:tab w:val="left" w:pos="7920"/>
        </w:tabs>
        <w:rPr>
          <w:rFonts w:ascii="Arial" w:hAnsi="Arial" w:cs="Arial"/>
          <w:b/>
          <w:sz w:val="24"/>
          <w:szCs w:val="24"/>
        </w:rPr>
      </w:pPr>
      <w:r>
        <w:rPr>
          <w:rFonts w:ascii="Arial" w:hAnsi="Arial" w:cs="Arial"/>
          <w:b/>
          <w:sz w:val="24"/>
          <w:szCs w:val="24"/>
        </w:rPr>
        <w:tab/>
      </w:r>
    </w:p>
    <w:sectPr w:rsidR="00926924" w:rsidRPr="006068A8" w:rsidSect="00957A51">
      <w:headerReference w:type="default" r:id="rId16"/>
      <w:footerReference w:type="default" r:id="rId17"/>
      <w:footnotePr>
        <w:numFmt w:val="lowerLetter"/>
      </w:footnotePr>
      <w:pgSz w:w="11907" w:h="16840" w:code="9"/>
      <w:pgMar w:top="992" w:right="1440" w:bottom="1134" w:left="1440" w:header="709"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D9F52" w14:textId="77777777" w:rsidR="004D49A2" w:rsidRDefault="004D49A2" w:rsidP="00610D1A">
      <w:pPr>
        <w:spacing w:after="0" w:line="240" w:lineRule="auto"/>
      </w:pPr>
      <w:r>
        <w:separator/>
      </w:r>
    </w:p>
  </w:endnote>
  <w:endnote w:type="continuationSeparator" w:id="0">
    <w:p w14:paraId="04040D27" w14:textId="77777777" w:rsidR="004D49A2" w:rsidRDefault="004D49A2" w:rsidP="00610D1A">
      <w:pPr>
        <w:spacing w:after="0" w:line="240" w:lineRule="auto"/>
      </w:pPr>
      <w:r>
        <w:continuationSeparator/>
      </w:r>
    </w:p>
  </w:endnote>
  <w:endnote w:type="continuationNotice" w:id="1">
    <w:p w14:paraId="0A6D928E" w14:textId="77777777" w:rsidR="004D49A2" w:rsidRDefault="004D4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BD44E" w14:textId="77777777" w:rsidR="004D49A2" w:rsidRDefault="004D49A2" w:rsidP="00F972D4">
    <w:pPr>
      <w:pStyle w:val="Footer"/>
      <w:pBdr>
        <w:bottom w:val="single" w:sz="6" w:space="1" w:color="auto"/>
      </w:pBdr>
      <w:jc w:val="center"/>
    </w:pPr>
  </w:p>
  <w:p w14:paraId="43FCBB6F" w14:textId="77777777" w:rsidR="004D49A2" w:rsidRPr="006A7FC8" w:rsidRDefault="004D49A2" w:rsidP="006068A8">
    <w:pPr>
      <w:pStyle w:val="Footer"/>
      <w:tabs>
        <w:tab w:val="clear" w:pos="9360"/>
      </w:tabs>
      <w:rPr>
        <w:rFonts w:ascii="Arial" w:hAnsi="Arial" w:cs="Arial"/>
        <w:sz w:val="20"/>
        <w:szCs w:val="20"/>
      </w:rPr>
    </w:pPr>
    <w:r>
      <w:rPr>
        <w:rFonts w:ascii="Arial" w:hAnsi="Arial" w:cs="Arial"/>
        <w:sz w:val="20"/>
        <w:szCs w:val="20"/>
      </w:rPr>
      <w:t>March 2016</w:t>
    </w:r>
    <w:r w:rsidRPr="006A7FC8">
      <w:rPr>
        <w:rFonts w:ascii="Arial" w:hAnsi="Arial" w:cs="Arial"/>
        <w:sz w:val="20"/>
        <w:szCs w:val="20"/>
      </w:rPr>
      <w:tab/>
    </w:r>
    <w:r w:rsidRPr="006A7FC8">
      <w:rPr>
        <w:rFonts w:ascii="Arial" w:hAnsi="Arial" w:cs="Arial"/>
        <w:sz w:val="20"/>
        <w:szCs w:val="20"/>
      </w:rPr>
      <w:tab/>
    </w:r>
    <w:r w:rsidRPr="006A7FC8">
      <w:rPr>
        <w:rFonts w:ascii="Arial" w:hAnsi="Arial" w:cs="Arial"/>
        <w:sz w:val="20"/>
        <w:szCs w:val="20"/>
      </w:rPr>
      <w:tab/>
    </w:r>
    <w:r>
      <w:rPr>
        <w:rFonts w:ascii="Arial" w:hAnsi="Arial" w:cs="Arial"/>
        <w:sz w:val="20"/>
        <w:szCs w:val="20"/>
      </w:rPr>
      <w:t xml:space="preserve"> </w:t>
    </w:r>
    <w:r w:rsidRPr="006A7FC8">
      <w:rPr>
        <w:rFonts w:ascii="Arial" w:hAnsi="Arial" w:cs="Arial"/>
        <w:sz w:val="20"/>
        <w:szCs w:val="20"/>
      </w:rPr>
      <w:tab/>
    </w:r>
    <w:r w:rsidRPr="006A7FC8">
      <w:rPr>
        <w:rFonts w:ascii="Arial" w:hAnsi="Arial" w:cs="Arial"/>
        <w:sz w:val="20"/>
        <w:szCs w:val="20"/>
      </w:rPr>
      <w:tab/>
    </w:r>
    <w:r>
      <w:rPr>
        <w:rFonts w:ascii="Arial" w:hAnsi="Arial" w:cs="Arial"/>
        <w:sz w:val="20"/>
        <w:szCs w:val="20"/>
      </w:rPr>
      <w:t xml:space="preserve">          </w:t>
    </w:r>
    <w:r w:rsidRPr="006A7FC8">
      <w:rPr>
        <w:rFonts w:ascii="Arial" w:hAnsi="Arial" w:cs="Arial"/>
        <w:sz w:val="20"/>
        <w:szCs w:val="20"/>
      </w:rPr>
      <w:t xml:space="preserve">Page </w:t>
    </w:r>
    <w:r w:rsidRPr="006A7FC8">
      <w:rPr>
        <w:rFonts w:ascii="Arial" w:hAnsi="Arial" w:cs="Arial"/>
        <w:sz w:val="20"/>
        <w:szCs w:val="20"/>
      </w:rPr>
      <w:fldChar w:fldCharType="begin"/>
    </w:r>
    <w:r w:rsidRPr="006A7FC8">
      <w:rPr>
        <w:rFonts w:ascii="Arial" w:hAnsi="Arial" w:cs="Arial"/>
        <w:sz w:val="20"/>
        <w:szCs w:val="20"/>
      </w:rPr>
      <w:instrText xml:space="preserve"> PAGE </w:instrText>
    </w:r>
    <w:r w:rsidRPr="006A7FC8">
      <w:rPr>
        <w:rFonts w:ascii="Arial" w:hAnsi="Arial" w:cs="Arial"/>
        <w:sz w:val="20"/>
        <w:szCs w:val="20"/>
      </w:rPr>
      <w:fldChar w:fldCharType="separate"/>
    </w:r>
    <w:r w:rsidR="007A13EF">
      <w:rPr>
        <w:rFonts w:ascii="Arial" w:hAnsi="Arial" w:cs="Arial"/>
        <w:noProof/>
        <w:sz w:val="20"/>
        <w:szCs w:val="20"/>
      </w:rPr>
      <w:t>8</w:t>
    </w:r>
    <w:r w:rsidRPr="006A7FC8">
      <w:rPr>
        <w:rFonts w:ascii="Arial" w:hAnsi="Arial" w:cs="Arial"/>
        <w:noProof/>
        <w:sz w:val="20"/>
        <w:szCs w:val="20"/>
      </w:rPr>
      <w:fldChar w:fldCharType="end"/>
    </w:r>
    <w:r w:rsidRPr="006A7FC8">
      <w:rPr>
        <w:rFonts w:ascii="Arial" w:hAnsi="Arial" w:cs="Arial"/>
        <w:sz w:val="20"/>
        <w:szCs w:val="20"/>
      </w:rPr>
      <w:t xml:space="preserve"> of </w:t>
    </w:r>
    <w:r w:rsidRPr="006A7FC8">
      <w:rPr>
        <w:rFonts w:ascii="Arial" w:hAnsi="Arial" w:cs="Arial"/>
        <w:sz w:val="20"/>
        <w:szCs w:val="20"/>
      </w:rPr>
      <w:fldChar w:fldCharType="begin"/>
    </w:r>
    <w:r w:rsidRPr="006A7FC8">
      <w:rPr>
        <w:rFonts w:ascii="Arial" w:hAnsi="Arial" w:cs="Arial"/>
        <w:sz w:val="20"/>
        <w:szCs w:val="20"/>
      </w:rPr>
      <w:instrText xml:space="preserve"> NUMPAGES  </w:instrText>
    </w:r>
    <w:r w:rsidRPr="006A7FC8">
      <w:rPr>
        <w:rFonts w:ascii="Arial" w:hAnsi="Arial" w:cs="Arial"/>
        <w:sz w:val="20"/>
        <w:szCs w:val="20"/>
      </w:rPr>
      <w:fldChar w:fldCharType="separate"/>
    </w:r>
    <w:r w:rsidR="007A13EF">
      <w:rPr>
        <w:rFonts w:ascii="Arial" w:hAnsi="Arial" w:cs="Arial"/>
        <w:noProof/>
        <w:sz w:val="20"/>
        <w:szCs w:val="20"/>
      </w:rPr>
      <w:t>9</w:t>
    </w:r>
    <w:r w:rsidRPr="006A7FC8">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C44D7" w14:textId="77777777" w:rsidR="004D49A2" w:rsidRDefault="004D49A2" w:rsidP="00610D1A">
      <w:pPr>
        <w:spacing w:after="0" w:line="240" w:lineRule="auto"/>
      </w:pPr>
      <w:r>
        <w:separator/>
      </w:r>
    </w:p>
  </w:footnote>
  <w:footnote w:type="continuationSeparator" w:id="0">
    <w:p w14:paraId="7BA5F325" w14:textId="77777777" w:rsidR="004D49A2" w:rsidRDefault="004D49A2" w:rsidP="00610D1A">
      <w:pPr>
        <w:spacing w:after="0" w:line="240" w:lineRule="auto"/>
      </w:pPr>
      <w:r>
        <w:continuationSeparator/>
      </w:r>
    </w:p>
  </w:footnote>
  <w:footnote w:type="continuationNotice" w:id="1">
    <w:p w14:paraId="15CFB15E" w14:textId="77777777" w:rsidR="004D49A2" w:rsidRDefault="004D49A2">
      <w:pPr>
        <w:spacing w:after="0" w:line="240" w:lineRule="auto"/>
      </w:pPr>
    </w:p>
  </w:footnote>
  <w:footnote w:id="2">
    <w:p w14:paraId="7A99CED6" w14:textId="77777777" w:rsidR="004D49A2" w:rsidRPr="002C04BB" w:rsidRDefault="004D49A2" w:rsidP="002C04BB">
      <w:pPr>
        <w:pStyle w:val="FootnoteText"/>
        <w:spacing w:after="0"/>
        <w:ind w:left="284" w:hanging="284"/>
        <w:rPr>
          <w:rFonts w:ascii="Arial" w:hAnsi="Arial" w:cs="Arial"/>
        </w:rPr>
      </w:pPr>
      <w:r w:rsidRPr="002C04BB">
        <w:rPr>
          <w:rStyle w:val="FootnoteReference"/>
          <w:rFonts w:ascii="Arial" w:hAnsi="Arial" w:cs="Arial"/>
        </w:rPr>
        <w:footnoteRef/>
      </w:r>
      <w:r w:rsidRPr="002C04BB">
        <w:rPr>
          <w:rFonts w:ascii="Arial" w:hAnsi="Arial" w:cs="Arial"/>
        </w:rPr>
        <w:t xml:space="preserve"> </w:t>
      </w:r>
      <w:r>
        <w:rPr>
          <w:rFonts w:ascii="Arial" w:hAnsi="Arial" w:cs="Arial"/>
        </w:rPr>
        <w:tab/>
      </w:r>
      <w:r w:rsidRPr="00DD37A7">
        <w:rPr>
          <w:rFonts w:ascii="Arial" w:hAnsi="Arial" w:cs="Arial"/>
        </w:rPr>
        <w:t>21</w:t>
      </w:r>
      <w:r>
        <w:rPr>
          <w:rFonts w:ascii="Arial" w:hAnsi="Arial" w:cs="Arial"/>
        </w:rPr>
        <w:t xml:space="preserve"> </w:t>
      </w:r>
      <w:r w:rsidRPr="00DD37A7">
        <w:rPr>
          <w:rFonts w:ascii="Arial" w:hAnsi="Arial" w:cs="Arial"/>
        </w:rPr>
        <w:t>points relate</w:t>
      </w:r>
      <w:r w:rsidRPr="002C04BB">
        <w:rPr>
          <w:rFonts w:ascii="Arial" w:hAnsi="Arial" w:cs="Arial"/>
        </w:rPr>
        <w:t xml:space="preserve"> to outputs that will be confirmed in </w:t>
      </w:r>
      <w:proofErr w:type="spellStart"/>
      <w:r w:rsidRPr="002C04BB">
        <w:rPr>
          <w:rFonts w:ascii="Arial" w:hAnsi="Arial" w:cs="Arial"/>
        </w:rPr>
        <w:t>IR18</w:t>
      </w:r>
      <w:proofErr w:type="spellEnd"/>
      <w:r w:rsidRPr="002C04BB">
        <w:rPr>
          <w:rFonts w:ascii="Arial" w:hAnsi="Arial" w:cs="Arial"/>
        </w:rPr>
        <w:t>.</w:t>
      </w:r>
    </w:p>
  </w:footnote>
  <w:footnote w:id="3">
    <w:p w14:paraId="79A0EF82" w14:textId="45AFB39F" w:rsidR="004D49A2" w:rsidRPr="002C04BB" w:rsidRDefault="004D49A2" w:rsidP="002C04BB">
      <w:pPr>
        <w:pStyle w:val="FootnoteText"/>
        <w:spacing w:after="0"/>
        <w:ind w:left="284" w:hanging="284"/>
        <w:rPr>
          <w:rFonts w:ascii="Arial" w:hAnsi="Arial" w:cs="Arial"/>
        </w:rPr>
      </w:pPr>
      <w:r w:rsidRPr="002C04BB">
        <w:rPr>
          <w:rStyle w:val="FootnoteReference"/>
          <w:rFonts w:ascii="Arial" w:hAnsi="Arial" w:cs="Arial"/>
        </w:rPr>
        <w:footnoteRef/>
      </w:r>
      <w:r w:rsidRPr="002C04BB">
        <w:rPr>
          <w:rFonts w:ascii="Arial" w:hAnsi="Arial" w:cs="Arial"/>
        </w:rPr>
        <w:t xml:space="preserve"> </w:t>
      </w:r>
      <w:r>
        <w:rPr>
          <w:rFonts w:ascii="Arial" w:hAnsi="Arial" w:cs="Arial"/>
        </w:rPr>
        <w:tab/>
      </w:r>
      <w:r w:rsidRPr="002C04BB">
        <w:rPr>
          <w:rFonts w:ascii="Arial" w:hAnsi="Arial" w:cs="Arial"/>
        </w:rPr>
        <w:t xml:space="preserve">The OMD range has been updated to </w:t>
      </w:r>
      <w:r w:rsidRPr="00DD37A7">
        <w:rPr>
          <w:rFonts w:ascii="Arial" w:hAnsi="Arial" w:cs="Arial"/>
        </w:rPr>
        <w:t>reflect the Quarter 3 Technical Expression</w:t>
      </w:r>
      <w:r w:rsidRPr="002C04BB">
        <w:rPr>
          <w:rFonts w:ascii="Arial" w:hAnsi="Arial" w:cs="Arial"/>
        </w:rPr>
        <w:t xml:space="preserve"> changes</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E948B" w14:textId="60B1F349" w:rsidR="004D49A2" w:rsidRPr="00A61154" w:rsidRDefault="004D49A2" w:rsidP="00A61154">
    <w:pPr>
      <w:pStyle w:val="Header"/>
      <w:jc w:val="right"/>
      <w:rPr>
        <w:rFonts w:ascii="Arial" w:hAnsi="Arial" w:cs="Arial"/>
        <w:b/>
      </w:rPr>
    </w:pPr>
    <w:r w:rsidRPr="00A61154">
      <w:rPr>
        <w:rFonts w:ascii="Arial" w:hAnsi="Arial" w:cs="Arial"/>
        <w:b/>
      </w:rPr>
      <w:t>OMG</w:t>
    </w:r>
    <w:r>
      <w:rPr>
        <w:rFonts w:ascii="Arial" w:hAnsi="Arial" w:cs="Arial"/>
        <w:b/>
      </w:rPr>
      <w:t xml:space="preserve"> 41</w:t>
    </w:r>
    <w:r w:rsidRPr="00A61154">
      <w:rPr>
        <w:rFonts w:ascii="Arial" w:hAnsi="Arial" w:cs="Arial"/>
        <w:b/>
      </w:rPr>
      <w:t>/</w:t>
    </w:r>
    <w:r w:rsidR="00FD62DC">
      <w:rPr>
        <w:rFonts w:ascii="Arial" w:hAnsi="Arial" w:cs="Arial"/>
        <w:b/>
      </w:rPr>
      <w:t>16-03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C42"/>
    <w:multiLevelType w:val="hybridMultilevel"/>
    <w:tmpl w:val="4CD02F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4E03E45"/>
    <w:multiLevelType w:val="hybridMultilevel"/>
    <w:tmpl w:val="0EEA649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7CB1D2E"/>
    <w:multiLevelType w:val="hybridMultilevel"/>
    <w:tmpl w:val="5CB60E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7DA6FAC"/>
    <w:multiLevelType w:val="hybridMultilevel"/>
    <w:tmpl w:val="E948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A456DA"/>
    <w:multiLevelType w:val="hybridMultilevel"/>
    <w:tmpl w:val="4C6671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0D1D3C1F"/>
    <w:multiLevelType w:val="hybridMultilevel"/>
    <w:tmpl w:val="6FE8B62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0FAA2884"/>
    <w:multiLevelType w:val="multilevel"/>
    <w:tmpl w:val="1E8409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B753C8"/>
    <w:multiLevelType w:val="hybridMultilevel"/>
    <w:tmpl w:val="DB445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25924D4"/>
    <w:multiLevelType w:val="hybridMultilevel"/>
    <w:tmpl w:val="20C454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75A7BD1"/>
    <w:multiLevelType w:val="hybridMultilevel"/>
    <w:tmpl w:val="A67EBB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1AA13DC4"/>
    <w:multiLevelType w:val="hybridMultilevel"/>
    <w:tmpl w:val="A31CE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DA27F0"/>
    <w:multiLevelType w:val="hybridMultilevel"/>
    <w:tmpl w:val="771A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EB3CFC"/>
    <w:multiLevelType w:val="hybridMultilevel"/>
    <w:tmpl w:val="30E05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877E36"/>
    <w:multiLevelType w:val="hybridMultilevel"/>
    <w:tmpl w:val="874608EA"/>
    <w:lvl w:ilvl="0" w:tplc="3FCCDE4C">
      <w:start w:val="1"/>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2D8C0E78"/>
    <w:multiLevelType w:val="hybridMultilevel"/>
    <w:tmpl w:val="70B2B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BC1C6B"/>
    <w:multiLevelType w:val="hybridMultilevel"/>
    <w:tmpl w:val="F8D8FCA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328978F1"/>
    <w:multiLevelType w:val="hybridMultilevel"/>
    <w:tmpl w:val="B950D656"/>
    <w:lvl w:ilvl="0" w:tplc="E368ABDC">
      <w:start w:val="1"/>
      <w:numFmt w:val="bullet"/>
      <w:lvlText w:val=""/>
      <w:lvlJc w:val="left"/>
      <w:pPr>
        <w:tabs>
          <w:tab w:val="num" w:pos="720"/>
        </w:tabs>
        <w:ind w:left="720" w:hanging="360"/>
      </w:pPr>
      <w:rPr>
        <w:rFonts w:ascii="Wingdings" w:hAnsi="Wingdings" w:hint="default"/>
      </w:rPr>
    </w:lvl>
    <w:lvl w:ilvl="1" w:tplc="80E8E3A6">
      <w:start w:val="1"/>
      <w:numFmt w:val="bullet"/>
      <w:lvlText w:val=""/>
      <w:lvlJc w:val="left"/>
      <w:pPr>
        <w:tabs>
          <w:tab w:val="num" w:pos="1440"/>
        </w:tabs>
        <w:ind w:left="1440" w:hanging="360"/>
      </w:pPr>
      <w:rPr>
        <w:rFonts w:ascii="Wingdings" w:hAnsi="Wingdings" w:hint="default"/>
      </w:rPr>
    </w:lvl>
    <w:lvl w:ilvl="2" w:tplc="D3342342" w:tentative="1">
      <w:start w:val="1"/>
      <w:numFmt w:val="bullet"/>
      <w:lvlText w:val=""/>
      <w:lvlJc w:val="left"/>
      <w:pPr>
        <w:tabs>
          <w:tab w:val="num" w:pos="2160"/>
        </w:tabs>
        <w:ind w:left="2160" w:hanging="360"/>
      </w:pPr>
      <w:rPr>
        <w:rFonts w:ascii="Wingdings" w:hAnsi="Wingdings" w:hint="default"/>
      </w:rPr>
    </w:lvl>
    <w:lvl w:ilvl="3" w:tplc="FB1E3D38" w:tentative="1">
      <w:start w:val="1"/>
      <w:numFmt w:val="bullet"/>
      <w:lvlText w:val=""/>
      <w:lvlJc w:val="left"/>
      <w:pPr>
        <w:tabs>
          <w:tab w:val="num" w:pos="2880"/>
        </w:tabs>
        <w:ind w:left="2880" w:hanging="360"/>
      </w:pPr>
      <w:rPr>
        <w:rFonts w:ascii="Wingdings" w:hAnsi="Wingdings" w:hint="default"/>
      </w:rPr>
    </w:lvl>
    <w:lvl w:ilvl="4" w:tplc="087E0EB6" w:tentative="1">
      <w:start w:val="1"/>
      <w:numFmt w:val="bullet"/>
      <w:lvlText w:val=""/>
      <w:lvlJc w:val="left"/>
      <w:pPr>
        <w:tabs>
          <w:tab w:val="num" w:pos="3600"/>
        </w:tabs>
        <w:ind w:left="3600" w:hanging="360"/>
      </w:pPr>
      <w:rPr>
        <w:rFonts w:ascii="Wingdings" w:hAnsi="Wingdings" w:hint="default"/>
      </w:rPr>
    </w:lvl>
    <w:lvl w:ilvl="5" w:tplc="B3649F30" w:tentative="1">
      <w:start w:val="1"/>
      <w:numFmt w:val="bullet"/>
      <w:lvlText w:val=""/>
      <w:lvlJc w:val="left"/>
      <w:pPr>
        <w:tabs>
          <w:tab w:val="num" w:pos="4320"/>
        </w:tabs>
        <w:ind w:left="4320" w:hanging="360"/>
      </w:pPr>
      <w:rPr>
        <w:rFonts w:ascii="Wingdings" w:hAnsi="Wingdings" w:hint="default"/>
      </w:rPr>
    </w:lvl>
    <w:lvl w:ilvl="6" w:tplc="77125798" w:tentative="1">
      <w:start w:val="1"/>
      <w:numFmt w:val="bullet"/>
      <w:lvlText w:val=""/>
      <w:lvlJc w:val="left"/>
      <w:pPr>
        <w:tabs>
          <w:tab w:val="num" w:pos="5040"/>
        </w:tabs>
        <w:ind w:left="5040" w:hanging="360"/>
      </w:pPr>
      <w:rPr>
        <w:rFonts w:ascii="Wingdings" w:hAnsi="Wingdings" w:hint="default"/>
      </w:rPr>
    </w:lvl>
    <w:lvl w:ilvl="7" w:tplc="C5E20C4E" w:tentative="1">
      <w:start w:val="1"/>
      <w:numFmt w:val="bullet"/>
      <w:lvlText w:val=""/>
      <w:lvlJc w:val="left"/>
      <w:pPr>
        <w:tabs>
          <w:tab w:val="num" w:pos="5760"/>
        </w:tabs>
        <w:ind w:left="5760" w:hanging="360"/>
      </w:pPr>
      <w:rPr>
        <w:rFonts w:ascii="Wingdings" w:hAnsi="Wingdings" w:hint="default"/>
      </w:rPr>
    </w:lvl>
    <w:lvl w:ilvl="8" w:tplc="92206A78" w:tentative="1">
      <w:start w:val="1"/>
      <w:numFmt w:val="bullet"/>
      <w:lvlText w:val=""/>
      <w:lvlJc w:val="left"/>
      <w:pPr>
        <w:tabs>
          <w:tab w:val="num" w:pos="6480"/>
        </w:tabs>
        <w:ind w:left="6480" w:hanging="360"/>
      </w:pPr>
      <w:rPr>
        <w:rFonts w:ascii="Wingdings" w:hAnsi="Wingdings" w:hint="default"/>
      </w:rPr>
    </w:lvl>
  </w:abstractNum>
  <w:abstractNum w:abstractNumId="17">
    <w:nsid w:val="380C5A5F"/>
    <w:multiLevelType w:val="hybridMultilevel"/>
    <w:tmpl w:val="6334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3D265A"/>
    <w:multiLevelType w:val="hybridMultilevel"/>
    <w:tmpl w:val="0A20C89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41337448"/>
    <w:multiLevelType w:val="hybridMultilevel"/>
    <w:tmpl w:val="E77E83D8"/>
    <w:lvl w:ilvl="0" w:tplc="0EF2BD9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C65CE8"/>
    <w:multiLevelType w:val="hybridMultilevel"/>
    <w:tmpl w:val="CFB61D9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1">
    <w:nsid w:val="45354125"/>
    <w:multiLevelType w:val="hybridMultilevel"/>
    <w:tmpl w:val="41D61EF6"/>
    <w:lvl w:ilvl="0" w:tplc="04090001">
      <w:start w:val="1"/>
      <w:numFmt w:val="bullet"/>
      <w:lvlText w:val=""/>
      <w:lvlJc w:val="left"/>
      <w:pPr>
        <w:ind w:left="786" w:hanging="360"/>
      </w:pPr>
      <w:rPr>
        <w:rFonts w:ascii="Symbol" w:hAnsi="Symbol" w:cs="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22">
    <w:nsid w:val="45837392"/>
    <w:multiLevelType w:val="hybridMultilevel"/>
    <w:tmpl w:val="EC7269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4727660C"/>
    <w:multiLevelType w:val="hybridMultilevel"/>
    <w:tmpl w:val="33CA39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7BF2D13"/>
    <w:multiLevelType w:val="hybridMultilevel"/>
    <w:tmpl w:val="1A9C488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5">
    <w:nsid w:val="47CE6B42"/>
    <w:multiLevelType w:val="hybridMultilevel"/>
    <w:tmpl w:val="1FC4284E"/>
    <w:lvl w:ilvl="0" w:tplc="37A89438">
      <w:start w:val="1"/>
      <w:numFmt w:val="bullet"/>
      <w:lvlText w:val=""/>
      <w:lvlJc w:val="left"/>
      <w:pPr>
        <w:tabs>
          <w:tab w:val="num" w:pos="720"/>
        </w:tabs>
        <w:ind w:left="72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nsid w:val="4D352EB0"/>
    <w:multiLevelType w:val="hybridMultilevel"/>
    <w:tmpl w:val="4CEA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360B71"/>
    <w:multiLevelType w:val="hybridMultilevel"/>
    <w:tmpl w:val="25D0E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BB4856"/>
    <w:multiLevelType w:val="hybridMultilevel"/>
    <w:tmpl w:val="C04473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576328D7"/>
    <w:multiLevelType w:val="hybridMultilevel"/>
    <w:tmpl w:val="19C858A4"/>
    <w:lvl w:ilvl="0" w:tplc="C7F0CF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AAA0283"/>
    <w:multiLevelType w:val="hybridMultilevel"/>
    <w:tmpl w:val="F630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DB3A5E"/>
    <w:multiLevelType w:val="hybridMultilevel"/>
    <w:tmpl w:val="C084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CB07CD"/>
    <w:multiLevelType w:val="hybridMultilevel"/>
    <w:tmpl w:val="E09E9A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61C813C2"/>
    <w:multiLevelType w:val="hybridMultilevel"/>
    <w:tmpl w:val="7AFCA6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51A6DEA"/>
    <w:multiLevelType w:val="hybridMultilevel"/>
    <w:tmpl w:val="E122533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662F5B65"/>
    <w:multiLevelType w:val="hybridMultilevel"/>
    <w:tmpl w:val="18086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AE60E6"/>
    <w:multiLevelType w:val="hybridMultilevel"/>
    <w:tmpl w:val="2ACC2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A869AC"/>
    <w:multiLevelType w:val="hybridMultilevel"/>
    <w:tmpl w:val="87DEEA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6E707B99"/>
    <w:multiLevelType w:val="hybridMultilevel"/>
    <w:tmpl w:val="033A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0036DEF"/>
    <w:multiLevelType w:val="hybridMultilevel"/>
    <w:tmpl w:val="708AC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CA3214"/>
    <w:multiLevelType w:val="hybridMultilevel"/>
    <w:tmpl w:val="F4029D1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1">
    <w:nsid w:val="71FD54DE"/>
    <w:multiLevelType w:val="hybridMultilevel"/>
    <w:tmpl w:val="2D08F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FC4A1F"/>
    <w:multiLevelType w:val="hybridMultilevel"/>
    <w:tmpl w:val="5F9C3BD2"/>
    <w:lvl w:ilvl="0" w:tplc="04090001">
      <w:start w:val="1"/>
      <w:numFmt w:val="bullet"/>
      <w:lvlText w:val=""/>
      <w:lvlJc w:val="left"/>
      <w:pPr>
        <w:ind w:left="786" w:hanging="360"/>
      </w:pPr>
      <w:rPr>
        <w:rFonts w:ascii="Symbol" w:hAnsi="Symbol" w:cs="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43">
    <w:nsid w:val="750056FF"/>
    <w:multiLevelType w:val="hybridMultilevel"/>
    <w:tmpl w:val="429E0A0E"/>
    <w:lvl w:ilvl="0" w:tplc="14847998">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4">
    <w:nsid w:val="76156607"/>
    <w:multiLevelType w:val="hybridMultilevel"/>
    <w:tmpl w:val="F0F6A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7F71747"/>
    <w:multiLevelType w:val="hybridMultilevel"/>
    <w:tmpl w:val="7E96A3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FEF58EA"/>
    <w:multiLevelType w:val="hybridMultilevel"/>
    <w:tmpl w:val="BD700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0"/>
  </w:num>
  <w:num w:numId="4">
    <w:abstractNumId w:val="23"/>
  </w:num>
  <w:num w:numId="5">
    <w:abstractNumId w:val="37"/>
  </w:num>
  <w:num w:numId="6">
    <w:abstractNumId w:val="28"/>
  </w:num>
  <w:num w:numId="7">
    <w:abstractNumId w:val="4"/>
  </w:num>
  <w:num w:numId="8">
    <w:abstractNumId w:val="8"/>
  </w:num>
  <w:num w:numId="9">
    <w:abstractNumId w:val="43"/>
  </w:num>
  <w:num w:numId="10">
    <w:abstractNumId w:val="13"/>
  </w:num>
  <w:num w:numId="11">
    <w:abstractNumId w:val="24"/>
  </w:num>
  <w:num w:numId="12">
    <w:abstractNumId w:val="9"/>
  </w:num>
  <w:num w:numId="13">
    <w:abstractNumId w:val="32"/>
  </w:num>
  <w:num w:numId="14">
    <w:abstractNumId w:val="34"/>
  </w:num>
  <w:num w:numId="15">
    <w:abstractNumId w:val="45"/>
  </w:num>
  <w:num w:numId="16">
    <w:abstractNumId w:val="1"/>
  </w:num>
  <w:num w:numId="17">
    <w:abstractNumId w:val="18"/>
  </w:num>
  <w:num w:numId="18">
    <w:abstractNumId w:val="0"/>
  </w:num>
  <w:num w:numId="19">
    <w:abstractNumId w:val="21"/>
  </w:num>
  <w:num w:numId="20">
    <w:abstractNumId w:val="42"/>
  </w:num>
  <w:num w:numId="21">
    <w:abstractNumId w:val="19"/>
  </w:num>
  <w:num w:numId="22">
    <w:abstractNumId w:val="25"/>
  </w:num>
  <w:num w:numId="23">
    <w:abstractNumId w:val="33"/>
  </w:num>
  <w:num w:numId="24">
    <w:abstractNumId w:val="5"/>
  </w:num>
  <w:num w:numId="25">
    <w:abstractNumId w:val="15"/>
  </w:num>
  <w:num w:numId="26">
    <w:abstractNumId w:val="40"/>
  </w:num>
  <w:num w:numId="27">
    <w:abstractNumId w:val="12"/>
  </w:num>
  <w:num w:numId="28">
    <w:abstractNumId w:val="26"/>
  </w:num>
  <w:num w:numId="29">
    <w:abstractNumId w:val="44"/>
  </w:num>
  <w:num w:numId="30">
    <w:abstractNumId w:val="29"/>
  </w:num>
  <w:num w:numId="31">
    <w:abstractNumId w:val="6"/>
  </w:num>
  <w:num w:numId="32">
    <w:abstractNumId w:val="3"/>
  </w:num>
  <w:num w:numId="33">
    <w:abstractNumId w:val="31"/>
  </w:num>
  <w:num w:numId="34">
    <w:abstractNumId w:val="27"/>
  </w:num>
  <w:num w:numId="35">
    <w:abstractNumId w:val="14"/>
  </w:num>
  <w:num w:numId="36">
    <w:abstractNumId w:val="39"/>
  </w:num>
  <w:num w:numId="37">
    <w:abstractNumId w:val="35"/>
  </w:num>
  <w:num w:numId="38">
    <w:abstractNumId w:val="46"/>
  </w:num>
  <w:num w:numId="39">
    <w:abstractNumId w:val="38"/>
  </w:num>
  <w:num w:numId="40">
    <w:abstractNumId w:val="41"/>
  </w:num>
  <w:num w:numId="41">
    <w:abstractNumId w:val="17"/>
  </w:num>
  <w:num w:numId="42">
    <w:abstractNumId w:val="10"/>
  </w:num>
  <w:num w:numId="43">
    <w:abstractNumId w:val="7"/>
  </w:num>
  <w:num w:numId="44">
    <w:abstractNumId w:val="11"/>
  </w:num>
  <w:num w:numId="45">
    <w:abstractNumId w:val="30"/>
  </w:num>
  <w:num w:numId="46">
    <w:abstractNumId w:val="16"/>
  </w:num>
  <w:num w:numId="47">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n Tait">
    <w15:presenceInfo w15:providerId="None" w15:userId="Ian Ta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trackRevisions/>
  <w:defaultTabStop w:val="720"/>
  <w:doNotHyphenateCaps/>
  <w:drawingGridHorizontalSpacing w:val="110"/>
  <w:displayHorizontalDrawingGridEvery w:val="2"/>
  <w:characterSpacingControl w:val="doNotCompress"/>
  <w:doNotValidateAgainstSchema/>
  <w:doNotDemarcateInvalidXml/>
  <w:hdrShapeDefaults>
    <o:shapedefaults v:ext="edit" spidmax="24577"/>
  </w:hdrShapeDefaults>
  <w:footnotePr>
    <w:numFmt w:val="lowerLette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5"/>
    <w:rsid w:val="00001B05"/>
    <w:rsid w:val="000045DB"/>
    <w:rsid w:val="00011B8B"/>
    <w:rsid w:val="00013D94"/>
    <w:rsid w:val="00015977"/>
    <w:rsid w:val="000159E0"/>
    <w:rsid w:val="00016695"/>
    <w:rsid w:val="000167C0"/>
    <w:rsid w:val="0001715E"/>
    <w:rsid w:val="0001762B"/>
    <w:rsid w:val="0001762F"/>
    <w:rsid w:val="00020815"/>
    <w:rsid w:val="00021237"/>
    <w:rsid w:val="000228DF"/>
    <w:rsid w:val="000239F9"/>
    <w:rsid w:val="00023A06"/>
    <w:rsid w:val="00027B5A"/>
    <w:rsid w:val="00033523"/>
    <w:rsid w:val="000337FB"/>
    <w:rsid w:val="00035C7E"/>
    <w:rsid w:val="00035D32"/>
    <w:rsid w:val="000362AF"/>
    <w:rsid w:val="00036E4B"/>
    <w:rsid w:val="00040421"/>
    <w:rsid w:val="00040976"/>
    <w:rsid w:val="00040A19"/>
    <w:rsid w:val="000450BD"/>
    <w:rsid w:val="00045F89"/>
    <w:rsid w:val="00046F87"/>
    <w:rsid w:val="00050A54"/>
    <w:rsid w:val="00050DCE"/>
    <w:rsid w:val="00051ECA"/>
    <w:rsid w:val="000521FA"/>
    <w:rsid w:val="00052562"/>
    <w:rsid w:val="000527F6"/>
    <w:rsid w:val="0005328C"/>
    <w:rsid w:val="00053D04"/>
    <w:rsid w:val="00054330"/>
    <w:rsid w:val="000549F5"/>
    <w:rsid w:val="00054F55"/>
    <w:rsid w:val="0005589D"/>
    <w:rsid w:val="00056710"/>
    <w:rsid w:val="00060ABD"/>
    <w:rsid w:val="00060C29"/>
    <w:rsid w:val="000616DB"/>
    <w:rsid w:val="000625C0"/>
    <w:rsid w:val="0006272D"/>
    <w:rsid w:val="00064576"/>
    <w:rsid w:val="0006716B"/>
    <w:rsid w:val="00067577"/>
    <w:rsid w:val="0007090B"/>
    <w:rsid w:val="00072A7B"/>
    <w:rsid w:val="000733F5"/>
    <w:rsid w:val="000737A8"/>
    <w:rsid w:val="00073D07"/>
    <w:rsid w:val="00077C59"/>
    <w:rsid w:val="00077F8A"/>
    <w:rsid w:val="00080278"/>
    <w:rsid w:val="000804F8"/>
    <w:rsid w:val="00080FE1"/>
    <w:rsid w:val="00084665"/>
    <w:rsid w:val="00084FFF"/>
    <w:rsid w:val="00086BF6"/>
    <w:rsid w:val="000904C4"/>
    <w:rsid w:val="000917F5"/>
    <w:rsid w:val="00094B39"/>
    <w:rsid w:val="000952B0"/>
    <w:rsid w:val="00097245"/>
    <w:rsid w:val="000A10E9"/>
    <w:rsid w:val="000A2690"/>
    <w:rsid w:val="000A3624"/>
    <w:rsid w:val="000A615E"/>
    <w:rsid w:val="000A63D4"/>
    <w:rsid w:val="000A6F2D"/>
    <w:rsid w:val="000A7520"/>
    <w:rsid w:val="000B00E7"/>
    <w:rsid w:val="000B02A8"/>
    <w:rsid w:val="000B045B"/>
    <w:rsid w:val="000B05C6"/>
    <w:rsid w:val="000B0DE0"/>
    <w:rsid w:val="000B2D49"/>
    <w:rsid w:val="000B2ED5"/>
    <w:rsid w:val="000B4166"/>
    <w:rsid w:val="000B5722"/>
    <w:rsid w:val="000B5CE8"/>
    <w:rsid w:val="000B747F"/>
    <w:rsid w:val="000B7673"/>
    <w:rsid w:val="000C129D"/>
    <w:rsid w:val="000C1814"/>
    <w:rsid w:val="000C2813"/>
    <w:rsid w:val="000C57E9"/>
    <w:rsid w:val="000C5AB9"/>
    <w:rsid w:val="000C6C6C"/>
    <w:rsid w:val="000C7CDF"/>
    <w:rsid w:val="000C7DD2"/>
    <w:rsid w:val="000D031D"/>
    <w:rsid w:val="000D0A6E"/>
    <w:rsid w:val="000D34B5"/>
    <w:rsid w:val="000D34DD"/>
    <w:rsid w:val="000D3C3C"/>
    <w:rsid w:val="000D44C9"/>
    <w:rsid w:val="000E00F8"/>
    <w:rsid w:val="000E2B96"/>
    <w:rsid w:val="000E3B8B"/>
    <w:rsid w:val="000E3CF8"/>
    <w:rsid w:val="000E4959"/>
    <w:rsid w:val="000F0991"/>
    <w:rsid w:val="000F1927"/>
    <w:rsid w:val="000F1C24"/>
    <w:rsid w:val="000F33A7"/>
    <w:rsid w:val="000F4319"/>
    <w:rsid w:val="000F5F80"/>
    <w:rsid w:val="000F6DA5"/>
    <w:rsid w:val="000F7709"/>
    <w:rsid w:val="000F7C98"/>
    <w:rsid w:val="001004BC"/>
    <w:rsid w:val="001025DA"/>
    <w:rsid w:val="00102A33"/>
    <w:rsid w:val="001044F7"/>
    <w:rsid w:val="00105107"/>
    <w:rsid w:val="00107898"/>
    <w:rsid w:val="00107BF4"/>
    <w:rsid w:val="001103DF"/>
    <w:rsid w:val="00111546"/>
    <w:rsid w:val="00111E22"/>
    <w:rsid w:val="00113E73"/>
    <w:rsid w:val="0011457D"/>
    <w:rsid w:val="00114F4B"/>
    <w:rsid w:val="00116CA4"/>
    <w:rsid w:val="001170A3"/>
    <w:rsid w:val="00117B01"/>
    <w:rsid w:val="00117B05"/>
    <w:rsid w:val="001215B7"/>
    <w:rsid w:val="00121BA3"/>
    <w:rsid w:val="00121E46"/>
    <w:rsid w:val="0012202C"/>
    <w:rsid w:val="001227D3"/>
    <w:rsid w:val="00123873"/>
    <w:rsid w:val="00125582"/>
    <w:rsid w:val="0012631A"/>
    <w:rsid w:val="00131637"/>
    <w:rsid w:val="00131D49"/>
    <w:rsid w:val="00131ECA"/>
    <w:rsid w:val="0013409C"/>
    <w:rsid w:val="00134478"/>
    <w:rsid w:val="001347B4"/>
    <w:rsid w:val="00134804"/>
    <w:rsid w:val="00135427"/>
    <w:rsid w:val="001356FB"/>
    <w:rsid w:val="0013782E"/>
    <w:rsid w:val="001406C9"/>
    <w:rsid w:val="00140AAD"/>
    <w:rsid w:val="00141161"/>
    <w:rsid w:val="00143C9E"/>
    <w:rsid w:val="0014405B"/>
    <w:rsid w:val="001504BB"/>
    <w:rsid w:val="00150C99"/>
    <w:rsid w:val="00151DBB"/>
    <w:rsid w:val="00153FBC"/>
    <w:rsid w:val="00156258"/>
    <w:rsid w:val="00160C67"/>
    <w:rsid w:val="001610B4"/>
    <w:rsid w:val="0016325F"/>
    <w:rsid w:val="001648AB"/>
    <w:rsid w:val="001677B4"/>
    <w:rsid w:val="001703E6"/>
    <w:rsid w:val="001712A8"/>
    <w:rsid w:val="00171907"/>
    <w:rsid w:val="00172AAE"/>
    <w:rsid w:val="001749EB"/>
    <w:rsid w:val="0017511C"/>
    <w:rsid w:val="0018250A"/>
    <w:rsid w:val="001829C3"/>
    <w:rsid w:val="00185667"/>
    <w:rsid w:val="001863B9"/>
    <w:rsid w:val="00187A72"/>
    <w:rsid w:val="00191A51"/>
    <w:rsid w:val="00193865"/>
    <w:rsid w:val="00194022"/>
    <w:rsid w:val="0019792D"/>
    <w:rsid w:val="001A063C"/>
    <w:rsid w:val="001A3DAA"/>
    <w:rsid w:val="001B2056"/>
    <w:rsid w:val="001B2F52"/>
    <w:rsid w:val="001B3C7F"/>
    <w:rsid w:val="001B4A39"/>
    <w:rsid w:val="001B57C3"/>
    <w:rsid w:val="001B713A"/>
    <w:rsid w:val="001C18AD"/>
    <w:rsid w:val="001C356F"/>
    <w:rsid w:val="001C3D7A"/>
    <w:rsid w:val="001C4F6C"/>
    <w:rsid w:val="001C5506"/>
    <w:rsid w:val="001C75F0"/>
    <w:rsid w:val="001D0B39"/>
    <w:rsid w:val="001D179B"/>
    <w:rsid w:val="001D42BC"/>
    <w:rsid w:val="001D736B"/>
    <w:rsid w:val="001D7826"/>
    <w:rsid w:val="001E2ED0"/>
    <w:rsid w:val="001E351A"/>
    <w:rsid w:val="001E407A"/>
    <w:rsid w:val="001E416E"/>
    <w:rsid w:val="001E6FE5"/>
    <w:rsid w:val="001E7E06"/>
    <w:rsid w:val="001F03BA"/>
    <w:rsid w:val="001F0524"/>
    <w:rsid w:val="001F171D"/>
    <w:rsid w:val="001F1E9E"/>
    <w:rsid w:val="001F34D0"/>
    <w:rsid w:val="001F58FE"/>
    <w:rsid w:val="00200D3D"/>
    <w:rsid w:val="00201D13"/>
    <w:rsid w:val="002030F2"/>
    <w:rsid w:val="0020376F"/>
    <w:rsid w:val="00203FBF"/>
    <w:rsid w:val="00204876"/>
    <w:rsid w:val="00205B7B"/>
    <w:rsid w:val="0021335F"/>
    <w:rsid w:val="0021563F"/>
    <w:rsid w:val="00217A5A"/>
    <w:rsid w:val="0022194B"/>
    <w:rsid w:val="002256F4"/>
    <w:rsid w:val="00226DBB"/>
    <w:rsid w:val="002270B1"/>
    <w:rsid w:val="00227990"/>
    <w:rsid w:val="0023001E"/>
    <w:rsid w:val="00231DBB"/>
    <w:rsid w:val="00232797"/>
    <w:rsid w:val="0023373F"/>
    <w:rsid w:val="00233F3C"/>
    <w:rsid w:val="00237EF7"/>
    <w:rsid w:val="00240B77"/>
    <w:rsid w:val="00241341"/>
    <w:rsid w:val="00241419"/>
    <w:rsid w:val="002420F5"/>
    <w:rsid w:val="00242AEC"/>
    <w:rsid w:val="0024330D"/>
    <w:rsid w:val="002436D8"/>
    <w:rsid w:val="00243991"/>
    <w:rsid w:val="00243F63"/>
    <w:rsid w:val="00244870"/>
    <w:rsid w:val="00245B3B"/>
    <w:rsid w:val="00246896"/>
    <w:rsid w:val="00247027"/>
    <w:rsid w:val="00250422"/>
    <w:rsid w:val="0025204A"/>
    <w:rsid w:val="00253849"/>
    <w:rsid w:val="002540AE"/>
    <w:rsid w:val="002603CF"/>
    <w:rsid w:val="00266991"/>
    <w:rsid w:val="00266F79"/>
    <w:rsid w:val="00272951"/>
    <w:rsid w:val="00272DDD"/>
    <w:rsid w:val="00273870"/>
    <w:rsid w:val="00273A31"/>
    <w:rsid w:val="00273CF6"/>
    <w:rsid w:val="00276DCD"/>
    <w:rsid w:val="00277B26"/>
    <w:rsid w:val="0028039E"/>
    <w:rsid w:val="00280F22"/>
    <w:rsid w:val="00280F81"/>
    <w:rsid w:val="0028472F"/>
    <w:rsid w:val="00285388"/>
    <w:rsid w:val="00287B9B"/>
    <w:rsid w:val="00290A4E"/>
    <w:rsid w:val="00293665"/>
    <w:rsid w:val="00293D56"/>
    <w:rsid w:val="002962FD"/>
    <w:rsid w:val="00296854"/>
    <w:rsid w:val="002A09F1"/>
    <w:rsid w:val="002A2883"/>
    <w:rsid w:val="002A2C09"/>
    <w:rsid w:val="002A4732"/>
    <w:rsid w:val="002A4ACE"/>
    <w:rsid w:val="002A5CDA"/>
    <w:rsid w:val="002A5E65"/>
    <w:rsid w:val="002A60D4"/>
    <w:rsid w:val="002A7179"/>
    <w:rsid w:val="002A7D92"/>
    <w:rsid w:val="002B02D0"/>
    <w:rsid w:val="002B244E"/>
    <w:rsid w:val="002B6156"/>
    <w:rsid w:val="002B634F"/>
    <w:rsid w:val="002B788F"/>
    <w:rsid w:val="002C04BB"/>
    <w:rsid w:val="002C097E"/>
    <w:rsid w:val="002C0EAA"/>
    <w:rsid w:val="002C1777"/>
    <w:rsid w:val="002C2B67"/>
    <w:rsid w:val="002C5B3B"/>
    <w:rsid w:val="002C6B9C"/>
    <w:rsid w:val="002D3AA3"/>
    <w:rsid w:val="002D4B09"/>
    <w:rsid w:val="002D501E"/>
    <w:rsid w:val="002D6445"/>
    <w:rsid w:val="002E066C"/>
    <w:rsid w:val="002E1593"/>
    <w:rsid w:val="002E163B"/>
    <w:rsid w:val="002E241B"/>
    <w:rsid w:val="002E24C3"/>
    <w:rsid w:val="002E35AA"/>
    <w:rsid w:val="002E62BC"/>
    <w:rsid w:val="002E6ED9"/>
    <w:rsid w:val="002F0B6A"/>
    <w:rsid w:val="002F20CB"/>
    <w:rsid w:val="002F2B2F"/>
    <w:rsid w:val="002F38BE"/>
    <w:rsid w:val="002F6EF8"/>
    <w:rsid w:val="003035F9"/>
    <w:rsid w:val="00303718"/>
    <w:rsid w:val="00303CAB"/>
    <w:rsid w:val="00303CF4"/>
    <w:rsid w:val="00303E48"/>
    <w:rsid w:val="00303FF6"/>
    <w:rsid w:val="0030551C"/>
    <w:rsid w:val="003065F6"/>
    <w:rsid w:val="0030704F"/>
    <w:rsid w:val="00307206"/>
    <w:rsid w:val="0030729C"/>
    <w:rsid w:val="00307F67"/>
    <w:rsid w:val="00312A1C"/>
    <w:rsid w:val="00313403"/>
    <w:rsid w:val="00314406"/>
    <w:rsid w:val="003148C2"/>
    <w:rsid w:val="0031609A"/>
    <w:rsid w:val="00316122"/>
    <w:rsid w:val="003163B5"/>
    <w:rsid w:val="003168EA"/>
    <w:rsid w:val="00316F14"/>
    <w:rsid w:val="00317476"/>
    <w:rsid w:val="003201B7"/>
    <w:rsid w:val="00321954"/>
    <w:rsid w:val="00322B52"/>
    <w:rsid w:val="00324A5B"/>
    <w:rsid w:val="00326D02"/>
    <w:rsid w:val="00327846"/>
    <w:rsid w:val="00327B35"/>
    <w:rsid w:val="003307DF"/>
    <w:rsid w:val="00330E47"/>
    <w:rsid w:val="00331DF3"/>
    <w:rsid w:val="0033534D"/>
    <w:rsid w:val="00335C70"/>
    <w:rsid w:val="003362F6"/>
    <w:rsid w:val="003366F9"/>
    <w:rsid w:val="0033724F"/>
    <w:rsid w:val="00340837"/>
    <w:rsid w:val="0034283B"/>
    <w:rsid w:val="00342BDF"/>
    <w:rsid w:val="00344484"/>
    <w:rsid w:val="003447CA"/>
    <w:rsid w:val="00345C75"/>
    <w:rsid w:val="00346574"/>
    <w:rsid w:val="00346739"/>
    <w:rsid w:val="00347DDD"/>
    <w:rsid w:val="00350E02"/>
    <w:rsid w:val="00350FBF"/>
    <w:rsid w:val="00352F59"/>
    <w:rsid w:val="00353093"/>
    <w:rsid w:val="0035471C"/>
    <w:rsid w:val="0035514E"/>
    <w:rsid w:val="00355E93"/>
    <w:rsid w:val="00356382"/>
    <w:rsid w:val="0035661D"/>
    <w:rsid w:val="0035669A"/>
    <w:rsid w:val="00356753"/>
    <w:rsid w:val="00360A5F"/>
    <w:rsid w:val="0036227E"/>
    <w:rsid w:val="00362ABE"/>
    <w:rsid w:val="00362BB1"/>
    <w:rsid w:val="00363E40"/>
    <w:rsid w:val="00364E4B"/>
    <w:rsid w:val="00365E1A"/>
    <w:rsid w:val="00366EE0"/>
    <w:rsid w:val="00370F1C"/>
    <w:rsid w:val="003720A1"/>
    <w:rsid w:val="00372768"/>
    <w:rsid w:val="00373623"/>
    <w:rsid w:val="00373CD1"/>
    <w:rsid w:val="00375AD8"/>
    <w:rsid w:val="00377164"/>
    <w:rsid w:val="0038003E"/>
    <w:rsid w:val="00380483"/>
    <w:rsid w:val="0038137C"/>
    <w:rsid w:val="00381DC6"/>
    <w:rsid w:val="003822B4"/>
    <w:rsid w:val="0038232C"/>
    <w:rsid w:val="00382BF6"/>
    <w:rsid w:val="00382D42"/>
    <w:rsid w:val="0038330F"/>
    <w:rsid w:val="00385967"/>
    <w:rsid w:val="00386181"/>
    <w:rsid w:val="00390F04"/>
    <w:rsid w:val="0039219D"/>
    <w:rsid w:val="00393E69"/>
    <w:rsid w:val="00397104"/>
    <w:rsid w:val="003A3F85"/>
    <w:rsid w:val="003A5E22"/>
    <w:rsid w:val="003B04EE"/>
    <w:rsid w:val="003B1586"/>
    <w:rsid w:val="003B2DD3"/>
    <w:rsid w:val="003B43C2"/>
    <w:rsid w:val="003B4C8B"/>
    <w:rsid w:val="003B5CE3"/>
    <w:rsid w:val="003C0247"/>
    <w:rsid w:val="003C04CC"/>
    <w:rsid w:val="003C1BC9"/>
    <w:rsid w:val="003C35E3"/>
    <w:rsid w:val="003C4CEF"/>
    <w:rsid w:val="003C4E7A"/>
    <w:rsid w:val="003C62C1"/>
    <w:rsid w:val="003C67E8"/>
    <w:rsid w:val="003C7751"/>
    <w:rsid w:val="003C7CE9"/>
    <w:rsid w:val="003D290D"/>
    <w:rsid w:val="003D2E5D"/>
    <w:rsid w:val="003D2EAD"/>
    <w:rsid w:val="003D3147"/>
    <w:rsid w:val="003D3ADB"/>
    <w:rsid w:val="003D5FDB"/>
    <w:rsid w:val="003D6910"/>
    <w:rsid w:val="003D697D"/>
    <w:rsid w:val="003E1488"/>
    <w:rsid w:val="003E1AE1"/>
    <w:rsid w:val="003E20A3"/>
    <w:rsid w:val="003E2654"/>
    <w:rsid w:val="003E30E1"/>
    <w:rsid w:val="003E32ED"/>
    <w:rsid w:val="003E5AC6"/>
    <w:rsid w:val="003E7E8F"/>
    <w:rsid w:val="003F0367"/>
    <w:rsid w:val="003F34B6"/>
    <w:rsid w:val="003F4BAB"/>
    <w:rsid w:val="003F657A"/>
    <w:rsid w:val="003F748D"/>
    <w:rsid w:val="003F74AA"/>
    <w:rsid w:val="003F7ABB"/>
    <w:rsid w:val="00400F27"/>
    <w:rsid w:val="00402F5F"/>
    <w:rsid w:val="00403E90"/>
    <w:rsid w:val="00404A37"/>
    <w:rsid w:val="00407C62"/>
    <w:rsid w:val="00410846"/>
    <w:rsid w:val="00410D75"/>
    <w:rsid w:val="00411B3C"/>
    <w:rsid w:val="004135E0"/>
    <w:rsid w:val="00420A2E"/>
    <w:rsid w:val="00421ABD"/>
    <w:rsid w:val="00425E07"/>
    <w:rsid w:val="004271A5"/>
    <w:rsid w:val="00427E06"/>
    <w:rsid w:val="004303EE"/>
    <w:rsid w:val="0043163A"/>
    <w:rsid w:val="0043199B"/>
    <w:rsid w:val="0043396D"/>
    <w:rsid w:val="00433F34"/>
    <w:rsid w:val="004342EC"/>
    <w:rsid w:val="0043681E"/>
    <w:rsid w:val="004405E2"/>
    <w:rsid w:val="00440753"/>
    <w:rsid w:val="00440FF5"/>
    <w:rsid w:val="00441F25"/>
    <w:rsid w:val="00447136"/>
    <w:rsid w:val="004473CE"/>
    <w:rsid w:val="0044774B"/>
    <w:rsid w:val="00447FD8"/>
    <w:rsid w:val="004516CB"/>
    <w:rsid w:val="00452E2D"/>
    <w:rsid w:val="00452F3A"/>
    <w:rsid w:val="00456764"/>
    <w:rsid w:val="00456E58"/>
    <w:rsid w:val="00457B8D"/>
    <w:rsid w:val="0046092B"/>
    <w:rsid w:val="00460951"/>
    <w:rsid w:val="00463261"/>
    <w:rsid w:val="00465745"/>
    <w:rsid w:val="004666CF"/>
    <w:rsid w:val="00467557"/>
    <w:rsid w:val="00470957"/>
    <w:rsid w:val="00470EBA"/>
    <w:rsid w:val="004735C1"/>
    <w:rsid w:val="00476AF8"/>
    <w:rsid w:val="0047728C"/>
    <w:rsid w:val="0047730C"/>
    <w:rsid w:val="00477A87"/>
    <w:rsid w:val="00480240"/>
    <w:rsid w:val="0048098B"/>
    <w:rsid w:val="00481581"/>
    <w:rsid w:val="00484B2E"/>
    <w:rsid w:val="00484D6B"/>
    <w:rsid w:val="004900B3"/>
    <w:rsid w:val="00491966"/>
    <w:rsid w:val="004921A7"/>
    <w:rsid w:val="00492201"/>
    <w:rsid w:val="004943CD"/>
    <w:rsid w:val="00497389"/>
    <w:rsid w:val="004A0C42"/>
    <w:rsid w:val="004A13EF"/>
    <w:rsid w:val="004A355E"/>
    <w:rsid w:val="004A3AB6"/>
    <w:rsid w:val="004A643D"/>
    <w:rsid w:val="004B0091"/>
    <w:rsid w:val="004B2A2D"/>
    <w:rsid w:val="004B4BB1"/>
    <w:rsid w:val="004B5BBF"/>
    <w:rsid w:val="004B5C2C"/>
    <w:rsid w:val="004B5DF6"/>
    <w:rsid w:val="004B5E10"/>
    <w:rsid w:val="004B6136"/>
    <w:rsid w:val="004B6173"/>
    <w:rsid w:val="004B747E"/>
    <w:rsid w:val="004C1C16"/>
    <w:rsid w:val="004C2EBF"/>
    <w:rsid w:val="004C3FFE"/>
    <w:rsid w:val="004C4065"/>
    <w:rsid w:val="004C49C4"/>
    <w:rsid w:val="004C567D"/>
    <w:rsid w:val="004C5FCA"/>
    <w:rsid w:val="004C635F"/>
    <w:rsid w:val="004C775B"/>
    <w:rsid w:val="004D0A99"/>
    <w:rsid w:val="004D0DEB"/>
    <w:rsid w:val="004D0F12"/>
    <w:rsid w:val="004D49A2"/>
    <w:rsid w:val="004E0C6F"/>
    <w:rsid w:val="004E12EB"/>
    <w:rsid w:val="004E14DA"/>
    <w:rsid w:val="004E23B8"/>
    <w:rsid w:val="004E32DC"/>
    <w:rsid w:val="004E5972"/>
    <w:rsid w:val="004E5DB7"/>
    <w:rsid w:val="004E6343"/>
    <w:rsid w:val="004E6779"/>
    <w:rsid w:val="004E7E1B"/>
    <w:rsid w:val="004F0AC2"/>
    <w:rsid w:val="004F17C5"/>
    <w:rsid w:val="004F1CBA"/>
    <w:rsid w:val="004F3080"/>
    <w:rsid w:val="004F4568"/>
    <w:rsid w:val="004F4E1A"/>
    <w:rsid w:val="004F51CB"/>
    <w:rsid w:val="0050042C"/>
    <w:rsid w:val="0050290E"/>
    <w:rsid w:val="00502EF7"/>
    <w:rsid w:val="00503982"/>
    <w:rsid w:val="0050708E"/>
    <w:rsid w:val="00507590"/>
    <w:rsid w:val="0051088C"/>
    <w:rsid w:val="005127B3"/>
    <w:rsid w:val="005138C9"/>
    <w:rsid w:val="00514EDD"/>
    <w:rsid w:val="00516FFB"/>
    <w:rsid w:val="0052054A"/>
    <w:rsid w:val="00521935"/>
    <w:rsid w:val="0052397D"/>
    <w:rsid w:val="0052710F"/>
    <w:rsid w:val="0052748B"/>
    <w:rsid w:val="0052765F"/>
    <w:rsid w:val="00530086"/>
    <w:rsid w:val="00531C59"/>
    <w:rsid w:val="0053325D"/>
    <w:rsid w:val="00533D6E"/>
    <w:rsid w:val="005367E3"/>
    <w:rsid w:val="00537CE2"/>
    <w:rsid w:val="005404B9"/>
    <w:rsid w:val="00540837"/>
    <w:rsid w:val="0054283A"/>
    <w:rsid w:val="005449D7"/>
    <w:rsid w:val="00550690"/>
    <w:rsid w:val="00553BC0"/>
    <w:rsid w:val="00554169"/>
    <w:rsid w:val="00555428"/>
    <w:rsid w:val="005554AA"/>
    <w:rsid w:val="00555886"/>
    <w:rsid w:val="00555C77"/>
    <w:rsid w:val="00555CBC"/>
    <w:rsid w:val="00560172"/>
    <w:rsid w:val="00560884"/>
    <w:rsid w:val="00560916"/>
    <w:rsid w:val="00560E42"/>
    <w:rsid w:val="00561F14"/>
    <w:rsid w:val="0056413E"/>
    <w:rsid w:val="00570590"/>
    <w:rsid w:val="005712CD"/>
    <w:rsid w:val="00571954"/>
    <w:rsid w:val="00572599"/>
    <w:rsid w:val="00573CAF"/>
    <w:rsid w:val="00575383"/>
    <w:rsid w:val="00575988"/>
    <w:rsid w:val="00575B58"/>
    <w:rsid w:val="00576889"/>
    <w:rsid w:val="00576C52"/>
    <w:rsid w:val="00576C71"/>
    <w:rsid w:val="00576EF6"/>
    <w:rsid w:val="00577D9F"/>
    <w:rsid w:val="00582AAA"/>
    <w:rsid w:val="0058337F"/>
    <w:rsid w:val="00585148"/>
    <w:rsid w:val="00585182"/>
    <w:rsid w:val="00592EE9"/>
    <w:rsid w:val="00595726"/>
    <w:rsid w:val="005A002D"/>
    <w:rsid w:val="005A35DF"/>
    <w:rsid w:val="005A45B1"/>
    <w:rsid w:val="005A55E9"/>
    <w:rsid w:val="005A571A"/>
    <w:rsid w:val="005A6323"/>
    <w:rsid w:val="005A76E4"/>
    <w:rsid w:val="005A7A04"/>
    <w:rsid w:val="005B0DB8"/>
    <w:rsid w:val="005B1735"/>
    <w:rsid w:val="005B1C45"/>
    <w:rsid w:val="005B1CBA"/>
    <w:rsid w:val="005B2013"/>
    <w:rsid w:val="005B3F9A"/>
    <w:rsid w:val="005B4A50"/>
    <w:rsid w:val="005B4F1F"/>
    <w:rsid w:val="005C06CB"/>
    <w:rsid w:val="005C10F4"/>
    <w:rsid w:val="005C497D"/>
    <w:rsid w:val="005C4D6D"/>
    <w:rsid w:val="005C5EE3"/>
    <w:rsid w:val="005C6410"/>
    <w:rsid w:val="005D34DC"/>
    <w:rsid w:val="005D4291"/>
    <w:rsid w:val="005D4CA1"/>
    <w:rsid w:val="005D4F40"/>
    <w:rsid w:val="005D55BB"/>
    <w:rsid w:val="005D6278"/>
    <w:rsid w:val="005E0D81"/>
    <w:rsid w:val="005E145E"/>
    <w:rsid w:val="005E191F"/>
    <w:rsid w:val="005E2556"/>
    <w:rsid w:val="005E29E6"/>
    <w:rsid w:val="005E3BB7"/>
    <w:rsid w:val="005E4399"/>
    <w:rsid w:val="005E5584"/>
    <w:rsid w:val="005E5E66"/>
    <w:rsid w:val="005E7141"/>
    <w:rsid w:val="005F05FF"/>
    <w:rsid w:val="005F0B8E"/>
    <w:rsid w:val="005F239D"/>
    <w:rsid w:val="005F3609"/>
    <w:rsid w:val="005F46BB"/>
    <w:rsid w:val="005F7F39"/>
    <w:rsid w:val="0060001F"/>
    <w:rsid w:val="006007BC"/>
    <w:rsid w:val="006017EE"/>
    <w:rsid w:val="00602051"/>
    <w:rsid w:val="0060235E"/>
    <w:rsid w:val="0060587A"/>
    <w:rsid w:val="00606639"/>
    <w:rsid w:val="006068A8"/>
    <w:rsid w:val="0061021D"/>
    <w:rsid w:val="00610D1A"/>
    <w:rsid w:val="00612FF5"/>
    <w:rsid w:val="006130D2"/>
    <w:rsid w:val="00613C0B"/>
    <w:rsid w:val="00615A04"/>
    <w:rsid w:val="0061696B"/>
    <w:rsid w:val="00617D67"/>
    <w:rsid w:val="00620B73"/>
    <w:rsid w:val="00621E1D"/>
    <w:rsid w:val="00622299"/>
    <w:rsid w:val="006238BF"/>
    <w:rsid w:val="006326A1"/>
    <w:rsid w:val="00632B8D"/>
    <w:rsid w:val="00632EF3"/>
    <w:rsid w:val="006333E4"/>
    <w:rsid w:val="006350C3"/>
    <w:rsid w:val="006357DF"/>
    <w:rsid w:val="006369D9"/>
    <w:rsid w:val="00636AFE"/>
    <w:rsid w:val="0063728A"/>
    <w:rsid w:val="00641142"/>
    <w:rsid w:val="00641D4F"/>
    <w:rsid w:val="0064258D"/>
    <w:rsid w:val="006425D8"/>
    <w:rsid w:val="0064439A"/>
    <w:rsid w:val="0065171A"/>
    <w:rsid w:val="00651B81"/>
    <w:rsid w:val="0065345A"/>
    <w:rsid w:val="006555B6"/>
    <w:rsid w:val="0065568C"/>
    <w:rsid w:val="00657DF0"/>
    <w:rsid w:val="00660674"/>
    <w:rsid w:val="006625D2"/>
    <w:rsid w:val="006639F3"/>
    <w:rsid w:val="0066447E"/>
    <w:rsid w:val="006661D8"/>
    <w:rsid w:val="006668DD"/>
    <w:rsid w:val="00666D09"/>
    <w:rsid w:val="00667EE4"/>
    <w:rsid w:val="006707DE"/>
    <w:rsid w:val="0067126D"/>
    <w:rsid w:val="00677773"/>
    <w:rsid w:val="00682617"/>
    <w:rsid w:val="006842FA"/>
    <w:rsid w:val="006849C9"/>
    <w:rsid w:val="006908CB"/>
    <w:rsid w:val="00690BFE"/>
    <w:rsid w:val="00690F63"/>
    <w:rsid w:val="0069105D"/>
    <w:rsid w:val="00691E43"/>
    <w:rsid w:val="00693534"/>
    <w:rsid w:val="006939DE"/>
    <w:rsid w:val="00693DFD"/>
    <w:rsid w:val="006947E3"/>
    <w:rsid w:val="00694F98"/>
    <w:rsid w:val="00695785"/>
    <w:rsid w:val="006976EA"/>
    <w:rsid w:val="00697701"/>
    <w:rsid w:val="006977AD"/>
    <w:rsid w:val="006A311D"/>
    <w:rsid w:val="006A3938"/>
    <w:rsid w:val="006A5B89"/>
    <w:rsid w:val="006A6554"/>
    <w:rsid w:val="006A7FC8"/>
    <w:rsid w:val="006B1A8E"/>
    <w:rsid w:val="006B30AE"/>
    <w:rsid w:val="006B44C3"/>
    <w:rsid w:val="006B4A0E"/>
    <w:rsid w:val="006C020A"/>
    <w:rsid w:val="006C15A7"/>
    <w:rsid w:val="006D054C"/>
    <w:rsid w:val="006D128E"/>
    <w:rsid w:val="006D2C43"/>
    <w:rsid w:val="006D2FEB"/>
    <w:rsid w:val="006D4D8E"/>
    <w:rsid w:val="006D624C"/>
    <w:rsid w:val="006E15C3"/>
    <w:rsid w:val="006E1777"/>
    <w:rsid w:val="006E19F8"/>
    <w:rsid w:val="006E22A3"/>
    <w:rsid w:val="006E2F08"/>
    <w:rsid w:val="006E33A0"/>
    <w:rsid w:val="006E7275"/>
    <w:rsid w:val="006E7F29"/>
    <w:rsid w:val="006F02BC"/>
    <w:rsid w:val="006F38F2"/>
    <w:rsid w:val="006F590E"/>
    <w:rsid w:val="006F70DB"/>
    <w:rsid w:val="006F76D5"/>
    <w:rsid w:val="006F7D92"/>
    <w:rsid w:val="007009F0"/>
    <w:rsid w:val="007014FF"/>
    <w:rsid w:val="00705304"/>
    <w:rsid w:val="0070576B"/>
    <w:rsid w:val="0070663C"/>
    <w:rsid w:val="007069E9"/>
    <w:rsid w:val="00706EC4"/>
    <w:rsid w:val="007073AA"/>
    <w:rsid w:val="007109B3"/>
    <w:rsid w:val="00710BAA"/>
    <w:rsid w:val="00710BF1"/>
    <w:rsid w:val="00711D96"/>
    <w:rsid w:val="00715E99"/>
    <w:rsid w:val="00716021"/>
    <w:rsid w:val="007167C9"/>
    <w:rsid w:val="00716D5F"/>
    <w:rsid w:val="007202B1"/>
    <w:rsid w:val="00720C97"/>
    <w:rsid w:val="00720E8E"/>
    <w:rsid w:val="00723E09"/>
    <w:rsid w:val="0072440F"/>
    <w:rsid w:val="00725055"/>
    <w:rsid w:val="0072513D"/>
    <w:rsid w:val="007261F3"/>
    <w:rsid w:val="00727013"/>
    <w:rsid w:val="00727404"/>
    <w:rsid w:val="007274BE"/>
    <w:rsid w:val="007276B6"/>
    <w:rsid w:val="00727CC1"/>
    <w:rsid w:val="00731C2C"/>
    <w:rsid w:val="007326FA"/>
    <w:rsid w:val="00732B13"/>
    <w:rsid w:val="00735E36"/>
    <w:rsid w:val="0073626A"/>
    <w:rsid w:val="007373B7"/>
    <w:rsid w:val="0073777F"/>
    <w:rsid w:val="00737AFE"/>
    <w:rsid w:val="007400BF"/>
    <w:rsid w:val="00740A3B"/>
    <w:rsid w:val="007469C7"/>
    <w:rsid w:val="00746C01"/>
    <w:rsid w:val="007475D0"/>
    <w:rsid w:val="007522F5"/>
    <w:rsid w:val="007530C7"/>
    <w:rsid w:val="00757FEA"/>
    <w:rsid w:val="007627BC"/>
    <w:rsid w:val="007679C4"/>
    <w:rsid w:val="007718E5"/>
    <w:rsid w:val="00772045"/>
    <w:rsid w:val="007734AC"/>
    <w:rsid w:val="007734ED"/>
    <w:rsid w:val="00773CC0"/>
    <w:rsid w:val="0077431D"/>
    <w:rsid w:val="007757D9"/>
    <w:rsid w:val="00776242"/>
    <w:rsid w:val="007765A6"/>
    <w:rsid w:val="00776E7C"/>
    <w:rsid w:val="00780A5C"/>
    <w:rsid w:val="00781854"/>
    <w:rsid w:val="00781D8C"/>
    <w:rsid w:val="007831A2"/>
    <w:rsid w:val="00785490"/>
    <w:rsid w:val="00785B56"/>
    <w:rsid w:val="007864B1"/>
    <w:rsid w:val="00786754"/>
    <w:rsid w:val="00786DF9"/>
    <w:rsid w:val="0079077A"/>
    <w:rsid w:val="007908EA"/>
    <w:rsid w:val="00790DD5"/>
    <w:rsid w:val="0079329F"/>
    <w:rsid w:val="00794C85"/>
    <w:rsid w:val="00795F42"/>
    <w:rsid w:val="00796BF5"/>
    <w:rsid w:val="007A0A52"/>
    <w:rsid w:val="007A13EF"/>
    <w:rsid w:val="007A58AC"/>
    <w:rsid w:val="007A5DE7"/>
    <w:rsid w:val="007A5EF5"/>
    <w:rsid w:val="007B16A9"/>
    <w:rsid w:val="007B1D54"/>
    <w:rsid w:val="007B55C2"/>
    <w:rsid w:val="007B765C"/>
    <w:rsid w:val="007B7CB6"/>
    <w:rsid w:val="007C0FB6"/>
    <w:rsid w:val="007C42C6"/>
    <w:rsid w:val="007C4F92"/>
    <w:rsid w:val="007C7642"/>
    <w:rsid w:val="007D11A3"/>
    <w:rsid w:val="007D25C1"/>
    <w:rsid w:val="007D2A8A"/>
    <w:rsid w:val="007D2AC1"/>
    <w:rsid w:val="007D443C"/>
    <w:rsid w:val="007D5FF2"/>
    <w:rsid w:val="007D6E7E"/>
    <w:rsid w:val="007D704C"/>
    <w:rsid w:val="007D7C16"/>
    <w:rsid w:val="007D7EEF"/>
    <w:rsid w:val="007E0648"/>
    <w:rsid w:val="007E15A2"/>
    <w:rsid w:val="007E2E41"/>
    <w:rsid w:val="007E7359"/>
    <w:rsid w:val="007F6B8C"/>
    <w:rsid w:val="007F73FD"/>
    <w:rsid w:val="00800537"/>
    <w:rsid w:val="0080181C"/>
    <w:rsid w:val="00801AE2"/>
    <w:rsid w:val="00802A4B"/>
    <w:rsid w:val="00805096"/>
    <w:rsid w:val="00806B8F"/>
    <w:rsid w:val="00806FE7"/>
    <w:rsid w:val="008072D0"/>
    <w:rsid w:val="008076BF"/>
    <w:rsid w:val="00810784"/>
    <w:rsid w:val="00812008"/>
    <w:rsid w:val="00812C94"/>
    <w:rsid w:val="008150BE"/>
    <w:rsid w:val="00815447"/>
    <w:rsid w:val="008206B7"/>
    <w:rsid w:val="00821868"/>
    <w:rsid w:val="00823134"/>
    <w:rsid w:val="00824758"/>
    <w:rsid w:val="00824825"/>
    <w:rsid w:val="00826A48"/>
    <w:rsid w:val="00830258"/>
    <w:rsid w:val="00831845"/>
    <w:rsid w:val="008319C3"/>
    <w:rsid w:val="00832682"/>
    <w:rsid w:val="00837AE2"/>
    <w:rsid w:val="0084030D"/>
    <w:rsid w:val="00843190"/>
    <w:rsid w:val="00843C0A"/>
    <w:rsid w:val="00844734"/>
    <w:rsid w:val="00846776"/>
    <w:rsid w:val="00851098"/>
    <w:rsid w:val="0085296E"/>
    <w:rsid w:val="0085493C"/>
    <w:rsid w:val="00854C64"/>
    <w:rsid w:val="00857F79"/>
    <w:rsid w:val="00861178"/>
    <w:rsid w:val="00861B05"/>
    <w:rsid w:val="00864816"/>
    <w:rsid w:val="00865D55"/>
    <w:rsid w:val="00865DEB"/>
    <w:rsid w:val="0086702C"/>
    <w:rsid w:val="00870D7B"/>
    <w:rsid w:val="008726A7"/>
    <w:rsid w:val="0087344C"/>
    <w:rsid w:val="0087364E"/>
    <w:rsid w:val="0087505E"/>
    <w:rsid w:val="0087525E"/>
    <w:rsid w:val="008764FA"/>
    <w:rsid w:val="00876C0A"/>
    <w:rsid w:val="00877D5B"/>
    <w:rsid w:val="00881814"/>
    <w:rsid w:val="00881D52"/>
    <w:rsid w:val="0088248C"/>
    <w:rsid w:val="00882617"/>
    <w:rsid w:val="0088339E"/>
    <w:rsid w:val="008856E9"/>
    <w:rsid w:val="00885BFA"/>
    <w:rsid w:val="008865AB"/>
    <w:rsid w:val="00892FC0"/>
    <w:rsid w:val="008943B4"/>
    <w:rsid w:val="00894FA3"/>
    <w:rsid w:val="00897160"/>
    <w:rsid w:val="00897429"/>
    <w:rsid w:val="008A1607"/>
    <w:rsid w:val="008A30FF"/>
    <w:rsid w:val="008A36DA"/>
    <w:rsid w:val="008A3A38"/>
    <w:rsid w:val="008A63DA"/>
    <w:rsid w:val="008A6D28"/>
    <w:rsid w:val="008A7906"/>
    <w:rsid w:val="008A7FDC"/>
    <w:rsid w:val="008B0597"/>
    <w:rsid w:val="008B0A66"/>
    <w:rsid w:val="008B1070"/>
    <w:rsid w:val="008B1219"/>
    <w:rsid w:val="008B125E"/>
    <w:rsid w:val="008B5B9D"/>
    <w:rsid w:val="008B6490"/>
    <w:rsid w:val="008C10B5"/>
    <w:rsid w:val="008C28D7"/>
    <w:rsid w:val="008C2976"/>
    <w:rsid w:val="008C391F"/>
    <w:rsid w:val="008C3B74"/>
    <w:rsid w:val="008C3F46"/>
    <w:rsid w:val="008C58E9"/>
    <w:rsid w:val="008C648D"/>
    <w:rsid w:val="008C771D"/>
    <w:rsid w:val="008D07A4"/>
    <w:rsid w:val="008D11CA"/>
    <w:rsid w:val="008D32F8"/>
    <w:rsid w:val="008D4B2A"/>
    <w:rsid w:val="008E05D7"/>
    <w:rsid w:val="008E2FB0"/>
    <w:rsid w:val="008E3302"/>
    <w:rsid w:val="008E584B"/>
    <w:rsid w:val="008E58C3"/>
    <w:rsid w:val="008E5D1A"/>
    <w:rsid w:val="008F0AB8"/>
    <w:rsid w:val="008F1993"/>
    <w:rsid w:val="008F1EB0"/>
    <w:rsid w:val="008F2603"/>
    <w:rsid w:val="008F2953"/>
    <w:rsid w:val="008F48AA"/>
    <w:rsid w:val="008F672C"/>
    <w:rsid w:val="008F7840"/>
    <w:rsid w:val="008F7BC4"/>
    <w:rsid w:val="009004F1"/>
    <w:rsid w:val="0090291C"/>
    <w:rsid w:val="00902DD7"/>
    <w:rsid w:val="00903D5A"/>
    <w:rsid w:val="0090410B"/>
    <w:rsid w:val="009046B7"/>
    <w:rsid w:val="00905A27"/>
    <w:rsid w:val="00905FE7"/>
    <w:rsid w:val="00906952"/>
    <w:rsid w:val="00910070"/>
    <w:rsid w:val="00910961"/>
    <w:rsid w:val="00911A09"/>
    <w:rsid w:val="00913719"/>
    <w:rsid w:val="009139BC"/>
    <w:rsid w:val="009208E5"/>
    <w:rsid w:val="00921618"/>
    <w:rsid w:val="00926924"/>
    <w:rsid w:val="00926C1D"/>
    <w:rsid w:val="00927C11"/>
    <w:rsid w:val="00930AFF"/>
    <w:rsid w:val="00931128"/>
    <w:rsid w:val="00933F67"/>
    <w:rsid w:val="00940017"/>
    <w:rsid w:val="0094045C"/>
    <w:rsid w:val="00942D83"/>
    <w:rsid w:val="00942DF2"/>
    <w:rsid w:val="00944C64"/>
    <w:rsid w:val="00945EB1"/>
    <w:rsid w:val="00947974"/>
    <w:rsid w:val="00950C88"/>
    <w:rsid w:val="009510ED"/>
    <w:rsid w:val="009523C8"/>
    <w:rsid w:val="00952D4D"/>
    <w:rsid w:val="00953379"/>
    <w:rsid w:val="00954D35"/>
    <w:rsid w:val="00954E12"/>
    <w:rsid w:val="00956269"/>
    <w:rsid w:val="00956C69"/>
    <w:rsid w:val="00957071"/>
    <w:rsid w:val="00957199"/>
    <w:rsid w:val="00957A51"/>
    <w:rsid w:val="0096092B"/>
    <w:rsid w:val="009617DF"/>
    <w:rsid w:val="00961954"/>
    <w:rsid w:val="009629B0"/>
    <w:rsid w:val="0096458C"/>
    <w:rsid w:val="009648FF"/>
    <w:rsid w:val="00965840"/>
    <w:rsid w:val="00966265"/>
    <w:rsid w:val="00966442"/>
    <w:rsid w:val="00966654"/>
    <w:rsid w:val="0097014E"/>
    <w:rsid w:val="009715EB"/>
    <w:rsid w:val="00971D39"/>
    <w:rsid w:val="0097235E"/>
    <w:rsid w:val="0097427E"/>
    <w:rsid w:val="00975903"/>
    <w:rsid w:val="00982499"/>
    <w:rsid w:val="00982901"/>
    <w:rsid w:val="00982D00"/>
    <w:rsid w:val="009839E7"/>
    <w:rsid w:val="00985D66"/>
    <w:rsid w:val="0099130B"/>
    <w:rsid w:val="00991711"/>
    <w:rsid w:val="00991E67"/>
    <w:rsid w:val="00993B64"/>
    <w:rsid w:val="009A175B"/>
    <w:rsid w:val="009A2FB0"/>
    <w:rsid w:val="009A59FE"/>
    <w:rsid w:val="009B0335"/>
    <w:rsid w:val="009B11C1"/>
    <w:rsid w:val="009B1DA5"/>
    <w:rsid w:val="009B2F68"/>
    <w:rsid w:val="009B301B"/>
    <w:rsid w:val="009B4030"/>
    <w:rsid w:val="009B47B3"/>
    <w:rsid w:val="009B47D2"/>
    <w:rsid w:val="009B5297"/>
    <w:rsid w:val="009B6BD7"/>
    <w:rsid w:val="009B6DB2"/>
    <w:rsid w:val="009B700A"/>
    <w:rsid w:val="009C2442"/>
    <w:rsid w:val="009C2B17"/>
    <w:rsid w:val="009C37BD"/>
    <w:rsid w:val="009C3D86"/>
    <w:rsid w:val="009C530B"/>
    <w:rsid w:val="009C53FB"/>
    <w:rsid w:val="009C78F0"/>
    <w:rsid w:val="009C7CE9"/>
    <w:rsid w:val="009D00DC"/>
    <w:rsid w:val="009D0A35"/>
    <w:rsid w:val="009D1496"/>
    <w:rsid w:val="009D16F5"/>
    <w:rsid w:val="009D1976"/>
    <w:rsid w:val="009D235A"/>
    <w:rsid w:val="009D5B4C"/>
    <w:rsid w:val="009D6D1A"/>
    <w:rsid w:val="009D6E82"/>
    <w:rsid w:val="009D7B9F"/>
    <w:rsid w:val="009E05E6"/>
    <w:rsid w:val="009E0A5B"/>
    <w:rsid w:val="009E0BA3"/>
    <w:rsid w:val="009E2917"/>
    <w:rsid w:val="009E44E7"/>
    <w:rsid w:val="009E45A3"/>
    <w:rsid w:val="009E647A"/>
    <w:rsid w:val="009F08F5"/>
    <w:rsid w:val="009F108D"/>
    <w:rsid w:val="009F22DF"/>
    <w:rsid w:val="009F3023"/>
    <w:rsid w:val="009F3513"/>
    <w:rsid w:val="009F3C55"/>
    <w:rsid w:val="009F3FBC"/>
    <w:rsid w:val="009F52A5"/>
    <w:rsid w:val="009F5707"/>
    <w:rsid w:val="009F5C33"/>
    <w:rsid w:val="009F69B0"/>
    <w:rsid w:val="00A00158"/>
    <w:rsid w:val="00A0061E"/>
    <w:rsid w:val="00A016CE"/>
    <w:rsid w:val="00A02CDB"/>
    <w:rsid w:val="00A03547"/>
    <w:rsid w:val="00A048C8"/>
    <w:rsid w:val="00A05A78"/>
    <w:rsid w:val="00A070F9"/>
    <w:rsid w:val="00A13BC8"/>
    <w:rsid w:val="00A14AE8"/>
    <w:rsid w:val="00A159CC"/>
    <w:rsid w:val="00A1759C"/>
    <w:rsid w:val="00A20F04"/>
    <w:rsid w:val="00A2226D"/>
    <w:rsid w:val="00A238BC"/>
    <w:rsid w:val="00A23F03"/>
    <w:rsid w:val="00A25A1D"/>
    <w:rsid w:val="00A2601B"/>
    <w:rsid w:val="00A263DB"/>
    <w:rsid w:val="00A267E8"/>
    <w:rsid w:val="00A26E92"/>
    <w:rsid w:val="00A272B0"/>
    <w:rsid w:val="00A2739A"/>
    <w:rsid w:val="00A27893"/>
    <w:rsid w:val="00A32183"/>
    <w:rsid w:val="00A35AEF"/>
    <w:rsid w:val="00A35B51"/>
    <w:rsid w:val="00A37815"/>
    <w:rsid w:val="00A37AE7"/>
    <w:rsid w:val="00A41149"/>
    <w:rsid w:val="00A41591"/>
    <w:rsid w:val="00A41C99"/>
    <w:rsid w:val="00A434B5"/>
    <w:rsid w:val="00A44322"/>
    <w:rsid w:val="00A44DFC"/>
    <w:rsid w:val="00A45F87"/>
    <w:rsid w:val="00A46B00"/>
    <w:rsid w:val="00A47492"/>
    <w:rsid w:val="00A477E8"/>
    <w:rsid w:val="00A47CA1"/>
    <w:rsid w:val="00A47D2B"/>
    <w:rsid w:val="00A515C9"/>
    <w:rsid w:val="00A52199"/>
    <w:rsid w:val="00A532E6"/>
    <w:rsid w:val="00A545EC"/>
    <w:rsid w:val="00A54977"/>
    <w:rsid w:val="00A566BE"/>
    <w:rsid w:val="00A60FE8"/>
    <w:rsid w:val="00A61154"/>
    <w:rsid w:val="00A62D7E"/>
    <w:rsid w:val="00A636A0"/>
    <w:rsid w:val="00A64606"/>
    <w:rsid w:val="00A64E3C"/>
    <w:rsid w:val="00A651F0"/>
    <w:rsid w:val="00A65209"/>
    <w:rsid w:val="00A65CDF"/>
    <w:rsid w:val="00A660D6"/>
    <w:rsid w:val="00A67D6A"/>
    <w:rsid w:val="00A720E5"/>
    <w:rsid w:val="00A768F4"/>
    <w:rsid w:val="00A81A20"/>
    <w:rsid w:val="00A81AAA"/>
    <w:rsid w:val="00A83400"/>
    <w:rsid w:val="00A8440F"/>
    <w:rsid w:val="00A86D53"/>
    <w:rsid w:val="00A90C01"/>
    <w:rsid w:val="00A91939"/>
    <w:rsid w:val="00A94EFA"/>
    <w:rsid w:val="00A951C0"/>
    <w:rsid w:val="00A970B6"/>
    <w:rsid w:val="00AA0DA4"/>
    <w:rsid w:val="00AA1032"/>
    <w:rsid w:val="00AA2425"/>
    <w:rsid w:val="00AA3C67"/>
    <w:rsid w:val="00AA4939"/>
    <w:rsid w:val="00AA6DFB"/>
    <w:rsid w:val="00AA76D0"/>
    <w:rsid w:val="00AA7DA6"/>
    <w:rsid w:val="00AB0746"/>
    <w:rsid w:val="00AB25E4"/>
    <w:rsid w:val="00AB36E1"/>
    <w:rsid w:val="00AB4ED6"/>
    <w:rsid w:val="00AB6805"/>
    <w:rsid w:val="00AB7BF2"/>
    <w:rsid w:val="00AC0A6F"/>
    <w:rsid w:val="00AC1235"/>
    <w:rsid w:val="00AC3216"/>
    <w:rsid w:val="00AC4067"/>
    <w:rsid w:val="00AC5986"/>
    <w:rsid w:val="00AC681E"/>
    <w:rsid w:val="00AD0542"/>
    <w:rsid w:val="00AD46F2"/>
    <w:rsid w:val="00AE0138"/>
    <w:rsid w:val="00AE0EEF"/>
    <w:rsid w:val="00AE1B06"/>
    <w:rsid w:val="00AE1C92"/>
    <w:rsid w:val="00AE2443"/>
    <w:rsid w:val="00AE35A1"/>
    <w:rsid w:val="00AE49E2"/>
    <w:rsid w:val="00AE4DC7"/>
    <w:rsid w:val="00AE705B"/>
    <w:rsid w:val="00AE77CC"/>
    <w:rsid w:val="00AF25D8"/>
    <w:rsid w:val="00AF32F8"/>
    <w:rsid w:val="00AF43E4"/>
    <w:rsid w:val="00AF4691"/>
    <w:rsid w:val="00AF60E7"/>
    <w:rsid w:val="00AF66C1"/>
    <w:rsid w:val="00AF67E4"/>
    <w:rsid w:val="00AF6862"/>
    <w:rsid w:val="00AF6B53"/>
    <w:rsid w:val="00AF7176"/>
    <w:rsid w:val="00B014B2"/>
    <w:rsid w:val="00B0223A"/>
    <w:rsid w:val="00B02B4B"/>
    <w:rsid w:val="00B031C2"/>
    <w:rsid w:val="00B0323C"/>
    <w:rsid w:val="00B033F4"/>
    <w:rsid w:val="00B0363D"/>
    <w:rsid w:val="00B05C96"/>
    <w:rsid w:val="00B063C0"/>
    <w:rsid w:val="00B0715F"/>
    <w:rsid w:val="00B07404"/>
    <w:rsid w:val="00B106E0"/>
    <w:rsid w:val="00B136EF"/>
    <w:rsid w:val="00B13711"/>
    <w:rsid w:val="00B1556C"/>
    <w:rsid w:val="00B15FDB"/>
    <w:rsid w:val="00B1752B"/>
    <w:rsid w:val="00B216F8"/>
    <w:rsid w:val="00B21C81"/>
    <w:rsid w:val="00B23207"/>
    <w:rsid w:val="00B24097"/>
    <w:rsid w:val="00B24218"/>
    <w:rsid w:val="00B246A4"/>
    <w:rsid w:val="00B25CD9"/>
    <w:rsid w:val="00B25DD3"/>
    <w:rsid w:val="00B30479"/>
    <w:rsid w:val="00B31296"/>
    <w:rsid w:val="00B336AA"/>
    <w:rsid w:val="00B342A1"/>
    <w:rsid w:val="00B358C4"/>
    <w:rsid w:val="00B4072A"/>
    <w:rsid w:val="00B4078F"/>
    <w:rsid w:val="00B434C8"/>
    <w:rsid w:val="00B438E6"/>
    <w:rsid w:val="00B4407C"/>
    <w:rsid w:val="00B44E8A"/>
    <w:rsid w:val="00B45280"/>
    <w:rsid w:val="00B45774"/>
    <w:rsid w:val="00B45F12"/>
    <w:rsid w:val="00B470B6"/>
    <w:rsid w:val="00B4754A"/>
    <w:rsid w:val="00B475AE"/>
    <w:rsid w:val="00B47750"/>
    <w:rsid w:val="00B4781C"/>
    <w:rsid w:val="00B512D1"/>
    <w:rsid w:val="00B51794"/>
    <w:rsid w:val="00B52915"/>
    <w:rsid w:val="00B52D79"/>
    <w:rsid w:val="00B540C6"/>
    <w:rsid w:val="00B56AF3"/>
    <w:rsid w:val="00B5798D"/>
    <w:rsid w:val="00B579B1"/>
    <w:rsid w:val="00B57E64"/>
    <w:rsid w:val="00B60802"/>
    <w:rsid w:val="00B60FCC"/>
    <w:rsid w:val="00B62DB2"/>
    <w:rsid w:val="00B650E8"/>
    <w:rsid w:val="00B71A82"/>
    <w:rsid w:val="00B734EA"/>
    <w:rsid w:val="00B7389C"/>
    <w:rsid w:val="00B755AB"/>
    <w:rsid w:val="00B75ADC"/>
    <w:rsid w:val="00B76466"/>
    <w:rsid w:val="00B77350"/>
    <w:rsid w:val="00B774D3"/>
    <w:rsid w:val="00B77F8D"/>
    <w:rsid w:val="00B811FB"/>
    <w:rsid w:val="00B81228"/>
    <w:rsid w:val="00B81F4B"/>
    <w:rsid w:val="00B82F08"/>
    <w:rsid w:val="00B85B2D"/>
    <w:rsid w:val="00B86012"/>
    <w:rsid w:val="00B864EC"/>
    <w:rsid w:val="00B868C4"/>
    <w:rsid w:val="00B87D52"/>
    <w:rsid w:val="00B935F9"/>
    <w:rsid w:val="00B93C33"/>
    <w:rsid w:val="00B940B1"/>
    <w:rsid w:val="00B94ED5"/>
    <w:rsid w:val="00B94FC4"/>
    <w:rsid w:val="00B95327"/>
    <w:rsid w:val="00B96D39"/>
    <w:rsid w:val="00B976A5"/>
    <w:rsid w:val="00BA051B"/>
    <w:rsid w:val="00BA283D"/>
    <w:rsid w:val="00BA34EC"/>
    <w:rsid w:val="00BA5545"/>
    <w:rsid w:val="00BA5D6B"/>
    <w:rsid w:val="00BB0F64"/>
    <w:rsid w:val="00BB1FB2"/>
    <w:rsid w:val="00BB2B13"/>
    <w:rsid w:val="00BB3898"/>
    <w:rsid w:val="00BB608D"/>
    <w:rsid w:val="00BB7717"/>
    <w:rsid w:val="00BB7E55"/>
    <w:rsid w:val="00BC137C"/>
    <w:rsid w:val="00BC24A7"/>
    <w:rsid w:val="00BC5A59"/>
    <w:rsid w:val="00BC6A11"/>
    <w:rsid w:val="00BD1003"/>
    <w:rsid w:val="00BD10B1"/>
    <w:rsid w:val="00BD3299"/>
    <w:rsid w:val="00BD4F6B"/>
    <w:rsid w:val="00BD6724"/>
    <w:rsid w:val="00BD6DDF"/>
    <w:rsid w:val="00BD6FEC"/>
    <w:rsid w:val="00BD7008"/>
    <w:rsid w:val="00BE0003"/>
    <w:rsid w:val="00BE1174"/>
    <w:rsid w:val="00BE1B4C"/>
    <w:rsid w:val="00BE2FA5"/>
    <w:rsid w:val="00BE3473"/>
    <w:rsid w:val="00BE6B70"/>
    <w:rsid w:val="00BE70F2"/>
    <w:rsid w:val="00BE7A4B"/>
    <w:rsid w:val="00BE7D61"/>
    <w:rsid w:val="00BF0996"/>
    <w:rsid w:val="00BF0F32"/>
    <w:rsid w:val="00BF3D02"/>
    <w:rsid w:val="00BF49BE"/>
    <w:rsid w:val="00BF4C5A"/>
    <w:rsid w:val="00BF4F4C"/>
    <w:rsid w:val="00BF50E9"/>
    <w:rsid w:val="00BF5934"/>
    <w:rsid w:val="00BF5F1A"/>
    <w:rsid w:val="00BF7BA9"/>
    <w:rsid w:val="00C00DF9"/>
    <w:rsid w:val="00C02113"/>
    <w:rsid w:val="00C026C8"/>
    <w:rsid w:val="00C03AE6"/>
    <w:rsid w:val="00C03D55"/>
    <w:rsid w:val="00C04A9F"/>
    <w:rsid w:val="00C12331"/>
    <w:rsid w:val="00C1265F"/>
    <w:rsid w:val="00C127CB"/>
    <w:rsid w:val="00C14B5F"/>
    <w:rsid w:val="00C15658"/>
    <w:rsid w:val="00C1698C"/>
    <w:rsid w:val="00C17C3C"/>
    <w:rsid w:val="00C17FC7"/>
    <w:rsid w:val="00C207EB"/>
    <w:rsid w:val="00C22445"/>
    <w:rsid w:val="00C26F8D"/>
    <w:rsid w:val="00C30616"/>
    <w:rsid w:val="00C30C30"/>
    <w:rsid w:val="00C31453"/>
    <w:rsid w:val="00C324BF"/>
    <w:rsid w:val="00C32E43"/>
    <w:rsid w:val="00C33692"/>
    <w:rsid w:val="00C33C9F"/>
    <w:rsid w:val="00C33FD9"/>
    <w:rsid w:val="00C35469"/>
    <w:rsid w:val="00C36DBF"/>
    <w:rsid w:val="00C4096E"/>
    <w:rsid w:val="00C415C7"/>
    <w:rsid w:val="00C41CC0"/>
    <w:rsid w:val="00C41D16"/>
    <w:rsid w:val="00C45AB7"/>
    <w:rsid w:val="00C464A4"/>
    <w:rsid w:val="00C47017"/>
    <w:rsid w:val="00C47C9A"/>
    <w:rsid w:val="00C50BE5"/>
    <w:rsid w:val="00C50E97"/>
    <w:rsid w:val="00C514D7"/>
    <w:rsid w:val="00C52EAD"/>
    <w:rsid w:val="00C53DD3"/>
    <w:rsid w:val="00C55133"/>
    <w:rsid w:val="00C65175"/>
    <w:rsid w:val="00C651AB"/>
    <w:rsid w:val="00C73CA2"/>
    <w:rsid w:val="00C76A66"/>
    <w:rsid w:val="00C77248"/>
    <w:rsid w:val="00C77B87"/>
    <w:rsid w:val="00C77D32"/>
    <w:rsid w:val="00C8002E"/>
    <w:rsid w:val="00C81056"/>
    <w:rsid w:val="00C81FAC"/>
    <w:rsid w:val="00C82CD7"/>
    <w:rsid w:val="00C85FAB"/>
    <w:rsid w:val="00C86074"/>
    <w:rsid w:val="00C86FF3"/>
    <w:rsid w:val="00C91077"/>
    <w:rsid w:val="00C9492C"/>
    <w:rsid w:val="00C9699E"/>
    <w:rsid w:val="00CA2BAF"/>
    <w:rsid w:val="00CA3AAF"/>
    <w:rsid w:val="00CA7E10"/>
    <w:rsid w:val="00CB1A6D"/>
    <w:rsid w:val="00CB256A"/>
    <w:rsid w:val="00CB39A1"/>
    <w:rsid w:val="00CB3B53"/>
    <w:rsid w:val="00CB3DF5"/>
    <w:rsid w:val="00CB6ED1"/>
    <w:rsid w:val="00CC0E26"/>
    <w:rsid w:val="00CC18E4"/>
    <w:rsid w:val="00CC31E7"/>
    <w:rsid w:val="00CC37E3"/>
    <w:rsid w:val="00CC4050"/>
    <w:rsid w:val="00CC50D8"/>
    <w:rsid w:val="00CC7034"/>
    <w:rsid w:val="00CD05BC"/>
    <w:rsid w:val="00CD11AB"/>
    <w:rsid w:val="00CD1FA1"/>
    <w:rsid w:val="00CD2EF0"/>
    <w:rsid w:val="00CD4BBE"/>
    <w:rsid w:val="00CD5D0C"/>
    <w:rsid w:val="00CD6C7D"/>
    <w:rsid w:val="00CE12B4"/>
    <w:rsid w:val="00CE235D"/>
    <w:rsid w:val="00CE3120"/>
    <w:rsid w:val="00CE5969"/>
    <w:rsid w:val="00CE5B72"/>
    <w:rsid w:val="00CE5EA0"/>
    <w:rsid w:val="00CE7672"/>
    <w:rsid w:val="00CF0EFC"/>
    <w:rsid w:val="00CF27A2"/>
    <w:rsid w:val="00CF57E5"/>
    <w:rsid w:val="00CF5826"/>
    <w:rsid w:val="00CF5C06"/>
    <w:rsid w:val="00CF66FA"/>
    <w:rsid w:val="00CF69B0"/>
    <w:rsid w:val="00D0221E"/>
    <w:rsid w:val="00D0345B"/>
    <w:rsid w:val="00D038F6"/>
    <w:rsid w:val="00D0596B"/>
    <w:rsid w:val="00D06ABC"/>
    <w:rsid w:val="00D11C9F"/>
    <w:rsid w:val="00D128B4"/>
    <w:rsid w:val="00D14385"/>
    <w:rsid w:val="00D1661E"/>
    <w:rsid w:val="00D16F02"/>
    <w:rsid w:val="00D21328"/>
    <w:rsid w:val="00D2263D"/>
    <w:rsid w:val="00D22E67"/>
    <w:rsid w:val="00D236A0"/>
    <w:rsid w:val="00D24373"/>
    <w:rsid w:val="00D244A5"/>
    <w:rsid w:val="00D24AD0"/>
    <w:rsid w:val="00D252B2"/>
    <w:rsid w:val="00D258E0"/>
    <w:rsid w:val="00D25E0A"/>
    <w:rsid w:val="00D261E2"/>
    <w:rsid w:val="00D308AD"/>
    <w:rsid w:val="00D30CF3"/>
    <w:rsid w:val="00D31A06"/>
    <w:rsid w:val="00D336AB"/>
    <w:rsid w:val="00D35919"/>
    <w:rsid w:val="00D35CB6"/>
    <w:rsid w:val="00D35CDA"/>
    <w:rsid w:val="00D4060F"/>
    <w:rsid w:val="00D409E2"/>
    <w:rsid w:val="00D42CAC"/>
    <w:rsid w:val="00D433E0"/>
    <w:rsid w:val="00D43A13"/>
    <w:rsid w:val="00D44F3B"/>
    <w:rsid w:val="00D4712E"/>
    <w:rsid w:val="00D52EB0"/>
    <w:rsid w:val="00D553BC"/>
    <w:rsid w:val="00D56862"/>
    <w:rsid w:val="00D609DB"/>
    <w:rsid w:val="00D62AED"/>
    <w:rsid w:val="00D664DC"/>
    <w:rsid w:val="00D66D0A"/>
    <w:rsid w:val="00D7155D"/>
    <w:rsid w:val="00D722A6"/>
    <w:rsid w:val="00D729E7"/>
    <w:rsid w:val="00D72A9E"/>
    <w:rsid w:val="00D73EAF"/>
    <w:rsid w:val="00D74E52"/>
    <w:rsid w:val="00D74EE0"/>
    <w:rsid w:val="00D75047"/>
    <w:rsid w:val="00D768EB"/>
    <w:rsid w:val="00D80137"/>
    <w:rsid w:val="00D80506"/>
    <w:rsid w:val="00D80E38"/>
    <w:rsid w:val="00D8436B"/>
    <w:rsid w:val="00D84F7C"/>
    <w:rsid w:val="00D865FE"/>
    <w:rsid w:val="00D867A4"/>
    <w:rsid w:val="00D86AD8"/>
    <w:rsid w:val="00D86C90"/>
    <w:rsid w:val="00D90019"/>
    <w:rsid w:val="00D9275F"/>
    <w:rsid w:val="00D93C88"/>
    <w:rsid w:val="00D94047"/>
    <w:rsid w:val="00D94DA2"/>
    <w:rsid w:val="00D94E0B"/>
    <w:rsid w:val="00D96801"/>
    <w:rsid w:val="00D96D4B"/>
    <w:rsid w:val="00D97C79"/>
    <w:rsid w:val="00DA13C2"/>
    <w:rsid w:val="00DA1BF9"/>
    <w:rsid w:val="00DA3C9E"/>
    <w:rsid w:val="00DA4825"/>
    <w:rsid w:val="00DA4A61"/>
    <w:rsid w:val="00DA6502"/>
    <w:rsid w:val="00DA675C"/>
    <w:rsid w:val="00DA7508"/>
    <w:rsid w:val="00DA76AF"/>
    <w:rsid w:val="00DA7B54"/>
    <w:rsid w:val="00DA7E99"/>
    <w:rsid w:val="00DB216B"/>
    <w:rsid w:val="00DB39E7"/>
    <w:rsid w:val="00DB5120"/>
    <w:rsid w:val="00DB60BB"/>
    <w:rsid w:val="00DB6A04"/>
    <w:rsid w:val="00DB7E67"/>
    <w:rsid w:val="00DC0C0E"/>
    <w:rsid w:val="00DC2069"/>
    <w:rsid w:val="00DC256B"/>
    <w:rsid w:val="00DC34A6"/>
    <w:rsid w:val="00DC3DB4"/>
    <w:rsid w:val="00DC4261"/>
    <w:rsid w:val="00DC5A7F"/>
    <w:rsid w:val="00DC5F29"/>
    <w:rsid w:val="00DC7A44"/>
    <w:rsid w:val="00DD189A"/>
    <w:rsid w:val="00DD1FE6"/>
    <w:rsid w:val="00DD227B"/>
    <w:rsid w:val="00DD376D"/>
    <w:rsid w:val="00DD37A7"/>
    <w:rsid w:val="00DD3BFC"/>
    <w:rsid w:val="00DD49A7"/>
    <w:rsid w:val="00DD51A4"/>
    <w:rsid w:val="00DD5D23"/>
    <w:rsid w:val="00DD6537"/>
    <w:rsid w:val="00DD670A"/>
    <w:rsid w:val="00DD6B3E"/>
    <w:rsid w:val="00DD750A"/>
    <w:rsid w:val="00DE0E25"/>
    <w:rsid w:val="00DE227F"/>
    <w:rsid w:val="00DE236D"/>
    <w:rsid w:val="00DE26D7"/>
    <w:rsid w:val="00DE3C3F"/>
    <w:rsid w:val="00DE3CAD"/>
    <w:rsid w:val="00DE4D34"/>
    <w:rsid w:val="00DE6229"/>
    <w:rsid w:val="00DF06ED"/>
    <w:rsid w:val="00DF2587"/>
    <w:rsid w:val="00DF4BE8"/>
    <w:rsid w:val="00DF5535"/>
    <w:rsid w:val="00DF7E2D"/>
    <w:rsid w:val="00E01C72"/>
    <w:rsid w:val="00E0251A"/>
    <w:rsid w:val="00E1226C"/>
    <w:rsid w:val="00E124DD"/>
    <w:rsid w:val="00E14006"/>
    <w:rsid w:val="00E15205"/>
    <w:rsid w:val="00E15BDE"/>
    <w:rsid w:val="00E15FAC"/>
    <w:rsid w:val="00E1661A"/>
    <w:rsid w:val="00E171D1"/>
    <w:rsid w:val="00E17D19"/>
    <w:rsid w:val="00E22BC9"/>
    <w:rsid w:val="00E23E07"/>
    <w:rsid w:val="00E250EA"/>
    <w:rsid w:val="00E26EBA"/>
    <w:rsid w:val="00E3019F"/>
    <w:rsid w:val="00E30DC2"/>
    <w:rsid w:val="00E31817"/>
    <w:rsid w:val="00E319B7"/>
    <w:rsid w:val="00E3292E"/>
    <w:rsid w:val="00E342D5"/>
    <w:rsid w:val="00E35072"/>
    <w:rsid w:val="00E42608"/>
    <w:rsid w:val="00E42DA4"/>
    <w:rsid w:val="00E42DD3"/>
    <w:rsid w:val="00E442F6"/>
    <w:rsid w:val="00E45E86"/>
    <w:rsid w:val="00E47332"/>
    <w:rsid w:val="00E506AC"/>
    <w:rsid w:val="00E5165F"/>
    <w:rsid w:val="00E5728E"/>
    <w:rsid w:val="00E57CA1"/>
    <w:rsid w:val="00E60C2C"/>
    <w:rsid w:val="00E61C5D"/>
    <w:rsid w:val="00E61F6B"/>
    <w:rsid w:val="00E66807"/>
    <w:rsid w:val="00E66CD0"/>
    <w:rsid w:val="00E673FD"/>
    <w:rsid w:val="00E70369"/>
    <w:rsid w:val="00E70D08"/>
    <w:rsid w:val="00E71791"/>
    <w:rsid w:val="00E71E3D"/>
    <w:rsid w:val="00E726C1"/>
    <w:rsid w:val="00E7483D"/>
    <w:rsid w:val="00E74BE6"/>
    <w:rsid w:val="00E764E5"/>
    <w:rsid w:val="00E76F26"/>
    <w:rsid w:val="00E770F7"/>
    <w:rsid w:val="00E8072F"/>
    <w:rsid w:val="00E81D5A"/>
    <w:rsid w:val="00E8266C"/>
    <w:rsid w:val="00E82C39"/>
    <w:rsid w:val="00E84DD1"/>
    <w:rsid w:val="00E8728A"/>
    <w:rsid w:val="00E87448"/>
    <w:rsid w:val="00E9069A"/>
    <w:rsid w:val="00E90D02"/>
    <w:rsid w:val="00E938E3"/>
    <w:rsid w:val="00E93ECD"/>
    <w:rsid w:val="00E94D1D"/>
    <w:rsid w:val="00E94DB9"/>
    <w:rsid w:val="00E953D4"/>
    <w:rsid w:val="00E95D00"/>
    <w:rsid w:val="00E9676A"/>
    <w:rsid w:val="00E97DDF"/>
    <w:rsid w:val="00EA0324"/>
    <w:rsid w:val="00EA140F"/>
    <w:rsid w:val="00EA22E5"/>
    <w:rsid w:val="00EA35FC"/>
    <w:rsid w:val="00EA4314"/>
    <w:rsid w:val="00EA4A82"/>
    <w:rsid w:val="00EA4C2A"/>
    <w:rsid w:val="00EA6885"/>
    <w:rsid w:val="00EA79AF"/>
    <w:rsid w:val="00EA7A00"/>
    <w:rsid w:val="00EB1D8D"/>
    <w:rsid w:val="00EB4182"/>
    <w:rsid w:val="00EB51CB"/>
    <w:rsid w:val="00EB51D0"/>
    <w:rsid w:val="00EC07F6"/>
    <w:rsid w:val="00EC1B2C"/>
    <w:rsid w:val="00EC3974"/>
    <w:rsid w:val="00EC425A"/>
    <w:rsid w:val="00EC583E"/>
    <w:rsid w:val="00EC7B02"/>
    <w:rsid w:val="00ED0995"/>
    <w:rsid w:val="00ED1FFB"/>
    <w:rsid w:val="00ED71C1"/>
    <w:rsid w:val="00ED7371"/>
    <w:rsid w:val="00ED781A"/>
    <w:rsid w:val="00EE0281"/>
    <w:rsid w:val="00EE18FB"/>
    <w:rsid w:val="00EE4310"/>
    <w:rsid w:val="00EE6EE5"/>
    <w:rsid w:val="00EE72B5"/>
    <w:rsid w:val="00EF352D"/>
    <w:rsid w:val="00EF396E"/>
    <w:rsid w:val="00EF5966"/>
    <w:rsid w:val="00EF64E8"/>
    <w:rsid w:val="00EF7367"/>
    <w:rsid w:val="00EF7384"/>
    <w:rsid w:val="00EF7D85"/>
    <w:rsid w:val="00F017A2"/>
    <w:rsid w:val="00F01C09"/>
    <w:rsid w:val="00F023F1"/>
    <w:rsid w:val="00F026F0"/>
    <w:rsid w:val="00F03FEB"/>
    <w:rsid w:val="00F04484"/>
    <w:rsid w:val="00F0557A"/>
    <w:rsid w:val="00F064A1"/>
    <w:rsid w:val="00F0666D"/>
    <w:rsid w:val="00F06E91"/>
    <w:rsid w:val="00F11CD6"/>
    <w:rsid w:val="00F126A7"/>
    <w:rsid w:val="00F15BD1"/>
    <w:rsid w:val="00F1693A"/>
    <w:rsid w:val="00F1731E"/>
    <w:rsid w:val="00F20DD5"/>
    <w:rsid w:val="00F225A6"/>
    <w:rsid w:val="00F22C7A"/>
    <w:rsid w:val="00F22D04"/>
    <w:rsid w:val="00F2306A"/>
    <w:rsid w:val="00F2320D"/>
    <w:rsid w:val="00F27466"/>
    <w:rsid w:val="00F3019F"/>
    <w:rsid w:val="00F31836"/>
    <w:rsid w:val="00F3325A"/>
    <w:rsid w:val="00F33832"/>
    <w:rsid w:val="00F34124"/>
    <w:rsid w:val="00F36681"/>
    <w:rsid w:val="00F369A9"/>
    <w:rsid w:val="00F43339"/>
    <w:rsid w:val="00F460DD"/>
    <w:rsid w:val="00F476D5"/>
    <w:rsid w:val="00F51317"/>
    <w:rsid w:val="00F51CC3"/>
    <w:rsid w:val="00F52273"/>
    <w:rsid w:val="00F52AE6"/>
    <w:rsid w:val="00F53103"/>
    <w:rsid w:val="00F56709"/>
    <w:rsid w:val="00F56BE8"/>
    <w:rsid w:val="00F57C9C"/>
    <w:rsid w:val="00F6005D"/>
    <w:rsid w:val="00F60CB4"/>
    <w:rsid w:val="00F60F52"/>
    <w:rsid w:val="00F621AC"/>
    <w:rsid w:val="00F63987"/>
    <w:rsid w:val="00F65E97"/>
    <w:rsid w:val="00F66403"/>
    <w:rsid w:val="00F66D06"/>
    <w:rsid w:val="00F6700E"/>
    <w:rsid w:val="00F672AA"/>
    <w:rsid w:val="00F6745F"/>
    <w:rsid w:val="00F72491"/>
    <w:rsid w:val="00F7304C"/>
    <w:rsid w:val="00F7311C"/>
    <w:rsid w:val="00F733FC"/>
    <w:rsid w:val="00F73B9D"/>
    <w:rsid w:val="00F73C15"/>
    <w:rsid w:val="00F759C0"/>
    <w:rsid w:val="00F763B4"/>
    <w:rsid w:val="00F768BD"/>
    <w:rsid w:val="00F77174"/>
    <w:rsid w:val="00F772EE"/>
    <w:rsid w:val="00F805FF"/>
    <w:rsid w:val="00F8142D"/>
    <w:rsid w:val="00F81C38"/>
    <w:rsid w:val="00F81D0B"/>
    <w:rsid w:val="00F83C8C"/>
    <w:rsid w:val="00F86C8F"/>
    <w:rsid w:val="00F87459"/>
    <w:rsid w:val="00F8779E"/>
    <w:rsid w:val="00F90015"/>
    <w:rsid w:val="00F91A32"/>
    <w:rsid w:val="00F91E38"/>
    <w:rsid w:val="00F92157"/>
    <w:rsid w:val="00F93070"/>
    <w:rsid w:val="00F94530"/>
    <w:rsid w:val="00F94657"/>
    <w:rsid w:val="00F9496B"/>
    <w:rsid w:val="00F9511A"/>
    <w:rsid w:val="00F972D4"/>
    <w:rsid w:val="00FA1262"/>
    <w:rsid w:val="00FA522B"/>
    <w:rsid w:val="00FA5558"/>
    <w:rsid w:val="00FA6448"/>
    <w:rsid w:val="00FB16E5"/>
    <w:rsid w:val="00FB1B83"/>
    <w:rsid w:val="00FB2038"/>
    <w:rsid w:val="00FB2DFF"/>
    <w:rsid w:val="00FB3674"/>
    <w:rsid w:val="00FB409F"/>
    <w:rsid w:val="00FB459D"/>
    <w:rsid w:val="00FB7686"/>
    <w:rsid w:val="00FB7A41"/>
    <w:rsid w:val="00FC11C5"/>
    <w:rsid w:val="00FC181F"/>
    <w:rsid w:val="00FC266A"/>
    <w:rsid w:val="00FC2FEC"/>
    <w:rsid w:val="00FC31D0"/>
    <w:rsid w:val="00FC356D"/>
    <w:rsid w:val="00FC59F6"/>
    <w:rsid w:val="00FC5B86"/>
    <w:rsid w:val="00FC735A"/>
    <w:rsid w:val="00FD0417"/>
    <w:rsid w:val="00FD1815"/>
    <w:rsid w:val="00FD19F2"/>
    <w:rsid w:val="00FD1E33"/>
    <w:rsid w:val="00FD1FF9"/>
    <w:rsid w:val="00FD328E"/>
    <w:rsid w:val="00FD59DD"/>
    <w:rsid w:val="00FD5DC4"/>
    <w:rsid w:val="00FD62DC"/>
    <w:rsid w:val="00FE15BA"/>
    <w:rsid w:val="00FE1966"/>
    <w:rsid w:val="00FE2181"/>
    <w:rsid w:val="00FE288B"/>
    <w:rsid w:val="00FE3A80"/>
    <w:rsid w:val="00FE3E13"/>
    <w:rsid w:val="00FE45DB"/>
    <w:rsid w:val="00FE4A6E"/>
    <w:rsid w:val="00FE77BC"/>
    <w:rsid w:val="00FE7B8B"/>
    <w:rsid w:val="00FF099E"/>
    <w:rsid w:val="00FF1230"/>
    <w:rsid w:val="00FF189E"/>
    <w:rsid w:val="00FF3311"/>
    <w:rsid w:val="00FF4B9F"/>
    <w:rsid w:val="00FF4CE1"/>
    <w:rsid w:val="00FF5A68"/>
    <w:rsid w:val="00FF6E2C"/>
    <w:rsid w:val="00FF728C"/>
    <w:rsid w:val="00FF77A9"/>
    <w:rsid w:val="00FF7B45"/>
    <w:rsid w:val="00FF7DD0"/>
    <w:rsid w:val="00FF7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B14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annotation text" w:unhideWhenUsed="0"/>
    <w:lsdException w:name="header" w:unhideWhenUsed="0"/>
    <w:lsdException w:name="footer" w:uiPriority="0" w:unhideWhenUsed="0"/>
    <w:lsdException w:name="caption" w:uiPriority="35" w:qFormat="1"/>
    <w:lsdException w:name="footnote reference" w:uiPriority="0" w:unhideWhenUsed="0"/>
    <w:lsdException w:name="annotation reference" w:unhideWhenUsed="0"/>
    <w:lsdException w:name="endnote reference" w:uiPriority="0" w:unhideWhenUsed="0"/>
    <w:lsdException w:name="endnote text" w:uiPriority="0" w:unhideWhenUsed="0"/>
    <w:lsdException w:name="Title" w:semiHidden="0" w:uiPriority="10" w:unhideWhenUsed="0" w:qFormat="1"/>
    <w:lsdException w:name="Default Paragraph Font" w:uiPriority="1" w:unhideWhenUsed="0"/>
    <w:lsdException w:name="Body Text Indent" w:uiPriority="0"/>
    <w:lsdException w:name="Subtitle" w:semiHidden="0" w:uiPriority="11" w:unhideWhenUsed="0" w:qFormat="1"/>
    <w:lsdException w:name="Body Text 2" w:unhideWhenUsed="0"/>
    <w:lsdException w:name="Hyperlink" w:uiPriority="0" w:unhideWhenUsed="0"/>
    <w:lsdException w:name="Strong" w:semiHidden="0" w:uiPriority="22" w:unhideWhenUsed="0" w:qFormat="1"/>
    <w:lsdException w:name="Emphasis" w:semiHidden="0" w:uiPriority="20" w:unhideWhenUsed="0" w:qFormat="1"/>
    <w:lsdException w:name="annotation subject" w:uiPriority="0" w:unhideWhenUsed="0"/>
    <w:lsdException w:name="Balloon Text"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C16"/>
    <w:pPr>
      <w:spacing w:after="200" w:line="276" w:lineRule="auto"/>
    </w:pPr>
    <w:rPr>
      <w:rFonts w:cs="Calibri"/>
      <w:sz w:val="22"/>
      <w:szCs w:val="22"/>
      <w:lang w:val="en-GB"/>
    </w:rPr>
  </w:style>
  <w:style w:type="paragraph" w:styleId="Heading1">
    <w:name w:val="heading 1"/>
    <w:basedOn w:val="Normal"/>
    <w:next w:val="Normal"/>
    <w:link w:val="Heading1Char"/>
    <w:qFormat/>
    <w:rsid w:val="0030704F"/>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
    <w:semiHidden/>
    <w:unhideWhenUsed/>
    <w:qFormat/>
    <w:rsid w:val="009F5C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660674"/>
    <w:pPr>
      <w:keepNext/>
      <w:spacing w:before="240" w:after="60" w:line="240" w:lineRule="auto"/>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04F"/>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
    <w:semiHidden/>
    <w:rsid w:val="009F5C33"/>
    <w:rPr>
      <w:rFonts w:asciiTheme="majorHAnsi" w:eastAsiaTheme="majorEastAsia" w:hAnsiTheme="majorHAnsi" w:cstheme="majorBidi"/>
      <w:b/>
      <w:bCs/>
      <w:color w:val="4F81BD" w:themeColor="accent1"/>
      <w:sz w:val="26"/>
      <w:szCs w:val="26"/>
      <w:lang w:val="en-GB"/>
    </w:rPr>
  </w:style>
  <w:style w:type="character" w:customStyle="1" w:styleId="Heading4Char">
    <w:name w:val="Heading 4 Char"/>
    <w:basedOn w:val="DefaultParagraphFont"/>
    <w:link w:val="Heading4"/>
    <w:rsid w:val="00660674"/>
    <w:rPr>
      <w:rFonts w:eastAsia="Times New Roman"/>
      <w:b/>
      <w:bCs/>
      <w:sz w:val="28"/>
      <w:szCs w:val="28"/>
      <w:lang w:val="en-GB"/>
    </w:rPr>
  </w:style>
  <w:style w:type="paragraph" w:styleId="ListParagraph">
    <w:name w:val="List Paragraph"/>
    <w:basedOn w:val="Normal"/>
    <w:uiPriority w:val="34"/>
    <w:qFormat/>
    <w:rsid w:val="00C65175"/>
    <w:pPr>
      <w:ind w:left="720"/>
    </w:pPr>
  </w:style>
  <w:style w:type="paragraph" w:styleId="Header">
    <w:name w:val="header"/>
    <w:basedOn w:val="Normal"/>
    <w:link w:val="HeaderChar"/>
    <w:uiPriority w:val="99"/>
    <w:rsid w:val="00610D1A"/>
    <w:pPr>
      <w:tabs>
        <w:tab w:val="center" w:pos="4680"/>
        <w:tab w:val="right" w:pos="9360"/>
      </w:tabs>
    </w:pPr>
  </w:style>
  <w:style w:type="character" w:customStyle="1" w:styleId="HeaderChar">
    <w:name w:val="Header Char"/>
    <w:basedOn w:val="DefaultParagraphFont"/>
    <w:link w:val="Header"/>
    <w:uiPriority w:val="99"/>
    <w:rsid w:val="00610D1A"/>
    <w:rPr>
      <w:sz w:val="22"/>
      <w:szCs w:val="22"/>
    </w:rPr>
  </w:style>
  <w:style w:type="paragraph" w:styleId="Footer">
    <w:name w:val="footer"/>
    <w:basedOn w:val="Normal"/>
    <w:link w:val="FooterChar"/>
    <w:rsid w:val="00610D1A"/>
    <w:pPr>
      <w:tabs>
        <w:tab w:val="center" w:pos="4680"/>
        <w:tab w:val="right" w:pos="9360"/>
      </w:tabs>
    </w:pPr>
  </w:style>
  <w:style w:type="character" w:customStyle="1" w:styleId="FooterChar">
    <w:name w:val="Footer Char"/>
    <w:basedOn w:val="DefaultParagraphFont"/>
    <w:link w:val="Footer"/>
    <w:rsid w:val="00610D1A"/>
    <w:rPr>
      <w:sz w:val="22"/>
      <w:szCs w:val="22"/>
    </w:rPr>
  </w:style>
  <w:style w:type="paragraph" w:styleId="BalloonText">
    <w:name w:val="Balloon Text"/>
    <w:aliases w:val=" Char5"/>
    <w:basedOn w:val="Normal"/>
    <w:link w:val="BalloonTextChar"/>
    <w:semiHidden/>
    <w:rsid w:val="001C356F"/>
    <w:pPr>
      <w:spacing w:after="0" w:line="240" w:lineRule="auto"/>
    </w:pPr>
    <w:rPr>
      <w:rFonts w:ascii="Tahoma" w:hAnsi="Tahoma" w:cs="Tahoma"/>
      <w:sz w:val="16"/>
      <w:szCs w:val="16"/>
    </w:rPr>
  </w:style>
  <w:style w:type="character" w:customStyle="1" w:styleId="BalloonTextChar">
    <w:name w:val="Balloon Text Char"/>
    <w:aliases w:val=" Char5 Char"/>
    <w:basedOn w:val="DefaultParagraphFont"/>
    <w:link w:val="BalloonText"/>
    <w:semiHidden/>
    <w:rsid w:val="001C356F"/>
    <w:rPr>
      <w:rFonts w:ascii="Tahoma" w:hAnsi="Tahoma" w:cs="Tahoma"/>
      <w:sz w:val="16"/>
      <w:szCs w:val="16"/>
    </w:rPr>
  </w:style>
  <w:style w:type="character" w:styleId="CommentReference">
    <w:name w:val="annotation reference"/>
    <w:basedOn w:val="DefaultParagraphFont"/>
    <w:uiPriority w:val="99"/>
    <w:semiHidden/>
    <w:rsid w:val="00277B26"/>
    <w:rPr>
      <w:sz w:val="16"/>
      <w:szCs w:val="16"/>
    </w:rPr>
  </w:style>
  <w:style w:type="paragraph" w:styleId="CommentText">
    <w:name w:val="annotation text"/>
    <w:aliases w:val=" Char4, Char2"/>
    <w:basedOn w:val="Normal"/>
    <w:link w:val="CommentTextChar"/>
    <w:uiPriority w:val="99"/>
    <w:semiHidden/>
    <w:rsid w:val="00277B26"/>
    <w:rPr>
      <w:sz w:val="20"/>
      <w:szCs w:val="20"/>
    </w:rPr>
  </w:style>
  <w:style w:type="character" w:customStyle="1" w:styleId="CommentTextChar">
    <w:name w:val="Comment Text Char"/>
    <w:aliases w:val=" Char4 Char, Char2 Char"/>
    <w:basedOn w:val="DefaultParagraphFont"/>
    <w:link w:val="CommentText"/>
    <w:uiPriority w:val="99"/>
    <w:semiHidden/>
    <w:rsid w:val="00277B26"/>
  </w:style>
  <w:style w:type="paragraph" w:styleId="CommentSubject">
    <w:name w:val="annotation subject"/>
    <w:basedOn w:val="CommentText"/>
    <w:next w:val="CommentText"/>
    <w:link w:val="CommentSubjectChar"/>
    <w:semiHidden/>
    <w:rsid w:val="00277B26"/>
    <w:rPr>
      <w:b/>
      <w:bCs/>
    </w:rPr>
  </w:style>
  <w:style w:type="character" w:customStyle="1" w:styleId="CommentSubjectChar">
    <w:name w:val="Comment Subject Char"/>
    <w:basedOn w:val="CommentTextChar"/>
    <w:link w:val="CommentSubject"/>
    <w:semiHidden/>
    <w:rsid w:val="00277B26"/>
    <w:rPr>
      <w:b/>
      <w:bCs/>
    </w:rPr>
  </w:style>
  <w:style w:type="paragraph" w:styleId="FootnoteText">
    <w:name w:val="footnote text"/>
    <w:basedOn w:val="Normal"/>
    <w:link w:val="FootnoteTextChar"/>
    <w:semiHidden/>
    <w:rsid w:val="00F73B9D"/>
    <w:rPr>
      <w:sz w:val="20"/>
      <w:szCs w:val="20"/>
    </w:rPr>
  </w:style>
  <w:style w:type="character" w:customStyle="1" w:styleId="FootnoteTextChar">
    <w:name w:val="Footnote Text Char"/>
    <w:basedOn w:val="DefaultParagraphFont"/>
    <w:link w:val="FootnoteText"/>
    <w:semiHidden/>
    <w:rsid w:val="00F73B9D"/>
  </w:style>
  <w:style w:type="character" w:styleId="FootnoteReference">
    <w:name w:val="footnote reference"/>
    <w:basedOn w:val="DefaultParagraphFont"/>
    <w:semiHidden/>
    <w:rsid w:val="00F73B9D"/>
    <w:rPr>
      <w:vertAlign w:val="superscript"/>
    </w:rPr>
  </w:style>
  <w:style w:type="paragraph" w:styleId="NoSpacing">
    <w:name w:val="No Spacing"/>
    <w:uiPriority w:val="1"/>
    <w:qFormat/>
    <w:rsid w:val="004B5C2C"/>
    <w:rPr>
      <w:rFonts w:cs="Calibri"/>
      <w:sz w:val="22"/>
      <w:szCs w:val="22"/>
    </w:rPr>
  </w:style>
  <w:style w:type="table" w:styleId="TableGrid">
    <w:name w:val="Table Grid"/>
    <w:basedOn w:val="TableNormal"/>
    <w:uiPriority w:val="99"/>
    <w:rsid w:val="00EE72B5"/>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semiHidden/>
    <w:rsid w:val="0030704F"/>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30704F"/>
    <w:rPr>
      <w:rFonts w:ascii="Times New Roman" w:hAnsi="Times New Roman" w:cs="Times New Roman"/>
      <w:lang w:eastAsia="en-US"/>
    </w:rPr>
  </w:style>
  <w:style w:type="character" w:styleId="EndnoteReference">
    <w:name w:val="endnote reference"/>
    <w:basedOn w:val="DefaultParagraphFont"/>
    <w:semiHidden/>
    <w:rsid w:val="0030704F"/>
    <w:rPr>
      <w:vertAlign w:val="superscript"/>
    </w:rPr>
  </w:style>
  <w:style w:type="paragraph" w:styleId="BodyText2">
    <w:name w:val="Body Text 2"/>
    <w:aliases w:val="Body Text Indent Char1,Body Text Indent Char Char,Char Char Char"/>
    <w:basedOn w:val="Normal"/>
    <w:link w:val="BodyText2Char1"/>
    <w:uiPriority w:val="99"/>
    <w:rsid w:val="00B85B2D"/>
    <w:pPr>
      <w:spacing w:after="120" w:line="240" w:lineRule="auto"/>
      <w:ind w:left="283"/>
    </w:pPr>
    <w:rPr>
      <w:rFonts w:ascii="Times New Roman" w:eastAsia="Times New Roman" w:hAnsi="Times New Roman" w:cs="Times New Roman"/>
      <w:sz w:val="24"/>
      <w:szCs w:val="24"/>
    </w:rPr>
  </w:style>
  <w:style w:type="character" w:customStyle="1" w:styleId="BodyText2Char1">
    <w:name w:val="Body Text 2 Char1"/>
    <w:aliases w:val="Body Text Indent Char1 Char,Body Text Indent Char Char Char,Char Char Char Char"/>
    <w:basedOn w:val="DefaultParagraphFont"/>
    <w:link w:val="BodyText2"/>
    <w:uiPriority w:val="99"/>
    <w:rsid w:val="00B85B2D"/>
    <w:rPr>
      <w:rFonts w:ascii="Times New Roman" w:hAnsi="Times New Roman" w:cs="Times New Roman"/>
      <w:sz w:val="24"/>
      <w:szCs w:val="24"/>
      <w:lang w:val="en-GB"/>
    </w:rPr>
  </w:style>
  <w:style w:type="character" w:customStyle="1" w:styleId="BodyText2Char">
    <w:name w:val="Body Text 2 Char"/>
    <w:basedOn w:val="DefaultParagraphFont"/>
    <w:semiHidden/>
    <w:rsid w:val="008D11CA"/>
    <w:rPr>
      <w:rFonts w:ascii="Arial" w:hAnsi="Arial" w:cs="Arial"/>
      <w:b/>
      <w:bCs/>
      <w:sz w:val="24"/>
      <w:szCs w:val="24"/>
      <w:lang w:val="en-GB"/>
    </w:rPr>
  </w:style>
  <w:style w:type="character" w:styleId="Hyperlink">
    <w:name w:val="Hyperlink"/>
    <w:basedOn w:val="DefaultParagraphFont"/>
    <w:rsid w:val="00011B8B"/>
    <w:rPr>
      <w:color w:val="0000FF"/>
      <w:u w:val="single"/>
    </w:rPr>
  </w:style>
  <w:style w:type="paragraph" w:styleId="BodyTextIndent">
    <w:name w:val="Body Text Indent"/>
    <w:aliases w:val=" Char"/>
    <w:basedOn w:val="Normal"/>
    <w:link w:val="BodyTextIndentChar"/>
    <w:unhideWhenUsed/>
    <w:rsid w:val="00BF50E9"/>
    <w:pPr>
      <w:spacing w:after="120"/>
      <w:ind w:left="283"/>
    </w:pPr>
  </w:style>
  <w:style w:type="character" w:customStyle="1" w:styleId="BodyTextIndentChar">
    <w:name w:val="Body Text Indent Char"/>
    <w:aliases w:val=" Char Char"/>
    <w:basedOn w:val="DefaultParagraphFont"/>
    <w:link w:val="BodyTextIndent"/>
    <w:rsid w:val="00BF50E9"/>
    <w:rPr>
      <w:rFonts w:cs="Calibri"/>
      <w:sz w:val="22"/>
      <w:szCs w:val="22"/>
    </w:rPr>
  </w:style>
  <w:style w:type="paragraph" w:customStyle="1" w:styleId="CharCharCharCharCharCharCharCharCharCharCharCharCharCharCharChar">
    <w:name w:val="Char Char Char Char Char Char Char Char Char Char Char Char Char Char Char Char"/>
    <w:basedOn w:val="Normal"/>
    <w:rsid w:val="00BF50E9"/>
    <w:pPr>
      <w:spacing w:after="160" w:line="240" w:lineRule="exact"/>
    </w:pPr>
    <w:rPr>
      <w:rFonts w:ascii="Tahoma" w:eastAsia="Times New Roman" w:hAnsi="Tahoma" w:cs="Times New Roman"/>
      <w:sz w:val="20"/>
      <w:szCs w:val="20"/>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BF50E9"/>
    <w:pPr>
      <w:spacing w:after="160" w:line="240" w:lineRule="exact"/>
    </w:pPr>
    <w:rPr>
      <w:rFonts w:ascii="Tahoma" w:eastAsia="Times New Roman" w:hAnsi="Tahoma" w:cs="Times New Roman"/>
      <w:sz w:val="20"/>
      <w:szCs w:val="20"/>
    </w:rPr>
  </w:style>
  <w:style w:type="character" w:customStyle="1" w:styleId="Char2Char">
    <w:name w:val="Char2 Char"/>
    <w:semiHidden/>
    <w:rsid w:val="00BF50E9"/>
    <w:rPr>
      <w:rFonts w:ascii="Times New Roman" w:eastAsia="Times New Roman" w:hAnsi="Times New Roman" w:cs="Times New Roman"/>
      <w:sz w:val="20"/>
      <w:szCs w:val="20"/>
      <w:lang w:val="en-GB"/>
    </w:rPr>
  </w:style>
  <w:style w:type="character" w:styleId="Emphasis">
    <w:name w:val="Emphasis"/>
    <w:uiPriority w:val="20"/>
    <w:qFormat/>
    <w:rsid w:val="00BF50E9"/>
    <w:rPr>
      <w:i/>
      <w:iCs/>
    </w:rPr>
  </w:style>
  <w:style w:type="paragraph" w:styleId="Revision">
    <w:name w:val="Revision"/>
    <w:hidden/>
    <w:uiPriority w:val="99"/>
    <w:semiHidden/>
    <w:rsid w:val="00BF50E9"/>
    <w:rPr>
      <w:rFonts w:eastAsia="Times New Roman" w:cs="Calibri"/>
      <w:sz w:val="22"/>
      <w:szCs w:val="22"/>
    </w:rPr>
  </w:style>
  <w:style w:type="paragraph" w:customStyle="1" w:styleId="FigureTable">
    <w:name w:val="Figure/Table"/>
    <w:basedOn w:val="Normal"/>
    <w:next w:val="Normal"/>
    <w:uiPriority w:val="99"/>
    <w:rsid w:val="00BF50E9"/>
    <w:pPr>
      <w:spacing w:before="120" w:after="240" w:line="300" w:lineRule="exact"/>
    </w:pPr>
    <w:rPr>
      <w:rFonts w:ascii="Arial" w:eastAsia="Times New Roman" w:hAnsi="Arial" w:cs="Times New Roman"/>
      <w:b/>
      <w:w w:val="106"/>
      <w:sz w:val="20"/>
      <w:szCs w:val="18"/>
      <w:lang w:eastAsia="en-GB"/>
    </w:rPr>
  </w:style>
  <w:style w:type="paragraph" w:customStyle="1" w:styleId="FDBPTableText">
    <w:name w:val="FDBP Table Text"/>
    <w:basedOn w:val="Normal"/>
    <w:rsid w:val="00BF50E9"/>
    <w:pPr>
      <w:spacing w:before="40" w:after="40" w:line="240" w:lineRule="auto"/>
    </w:pPr>
    <w:rPr>
      <w:rFonts w:ascii="Arial" w:eastAsia="Times New Roman" w:hAnsi="Arial" w:cs="Times New Roman"/>
      <w:color w:val="000000"/>
      <w:w w:val="106"/>
      <w:sz w:val="16"/>
      <w:szCs w:val="16"/>
      <w:lang w:eastAsia="en-GB"/>
    </w:rPr>
  </w:style>
  <w:style w:type="paragraph" w:customStyle="1" w:styleId="Default">
    <w:name w:val="Default"/>
    <w:uiPriority w:val="99"/>
    <w:rsid w:val="00BF50E9"/>
    <w:pPr>
      <w:autoSpaceDE w:val="0"/>
      <w:autoSpaceDN w:val="0"/>
      <w:adjustRightInd w:val="0"/>
    </w:pPr>
    <w:rPr>
      <w:rFonts w:eastAsia="Times New Roman" w:cs="Calibri"/>
      <w:color w:val="000000"/>
      <w:sz w:val="24"/>
      <w:szCs w:val="24"/>
      <w:lang w:val="en-GB" w:eastAsia="en-GB"/>
    </w:rPr>
  </w:style>
  <w:style w:type="paragraph" w:customStyle="1" w:styleId="FDBPTableTextChar">
    <w:name w:val="FDBP Table Text Char"/>
    <w:basedOn w:val="Normal"/>
    <w:uiPriority w:val="99"/>
    <w:rsid w:val="00BF50E9"/>
    <w:pPr>
      <w:spacing w:before="40" w:after="40" w:line="240" w:lineRule="auto"/>
    </w:pPr>
    <w:rPr>
      <w:rFonts w:ascii="Arial" w:eastAsia="Times New Roman" w:hAnsi="Arial" w:cs="Arial"/>
      <w:color w:val="000000"/>
      <w:w w:val="106"/>
      <w:sz w:val="16"/>
      <w:szCs w:val="16"/>
      <w:lang w:eastAsia="en-GB"/>
    </w:rPr>
  </w:style>
  <w:style w:type="character" w:customStyle="1" w:styleId="Board">
    <w:name w:val="Board_"/>
    <w:rsid w:val="002A2883"/>
    <w:rPr>
      <w:rFonts w:ascii="Arial" w:hAnsi="Arial"/>
      <w:sz w:val="22"/>
    </w:rPr>
  </w:style>
  <w:style w:type="paragraph" w:styleId="NormalWeb">
    <w:name w:val="Normal (Web)"/>
    <w:basedOn w:val="Normal"/>
    <w:uiPriority w:val="99"/>
    <w:semiHidden/>
    <w:unhideWhenUsed/>
    <w:rsid w:val="002B634F"/>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annotation text" w:unhideWhenUsed="0"/>
    <w:lsdException w:name="header" w:unhideWhenUsed="0"/>
    <w:lsdException w:name="footer" w:uiPriority="0" w:unhideWhenUsed="0"/>
    <w:lsdException w:name="caption" w:uiPriority="35" w:qFormat="1"/>
    <w:lsdException w:name="footnote reference" w:uiPriority="0" w:unhideWhenUsed="0"/>
    <w:lsdException w:name="annotation reference" w:unhideWhenUsed="0"/>
    <w:lsdException w:name="endnote reference" w:uiPriority="0" w:unhideWhenUsed="0"/>
    <w:lsdException w:name="endnote text" w:uiPriority="0" w:unhideWhenUsed="0"/>
    <w:lsdException w:name="Title" w:semiHidden="0" w:uiPriority="10" w:unhideWhenUsed="0" w:qFormat="1"/>
    <w:lsdException w:name="Default Paragraph Font" w:uiPriority="1" w:unhideWhenUsed="0"/>
    <w:lsdException w:name="Body Text Indent" w:uiPriority="0"/>
    <w:lsdException w:name="Subtitle" w:semiHidden="0" w:uiPriority="11" w:unhideWhenUsed="0" w:qFormat="1"/>
    <w:lsdException w:name="Body Text 2" w:unhideWhenUsed="0"/>
    <w:lsdException w:name="Hyperlink" w:uiPriority="0" w:unhideWhenUsed="0"/>
    <w:lsdException w:name="Strong" w:semiHidden="0" w:uiPriority="22" w:unhideWhenUsed="0" w:qFormat="1"/>
    <w:lsdException w:name="Emphasis" w:semiHidden="0" w:uiPriority="20" w:unhideWhenUsed="0" w:qFormat="1"/>
    <w:lsdException w:name="annotation subject" w:uiPriority="0" w:unhideWhenUsed="0"/>
    <w:lsdException w:name="Balloon Text"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C16"/>
    <w:pPr>
      <w:spacing w:after="200" w:line="276" w:lineRule="auto"/>
    </w:pPr>
    <w:rPr>
      <w:rFonts w:cs="Calibri"/>
      <w:sz w:val="22"/>
      <w:szCs w:val="22"/>
      <w:lang w:val="en-GB"/>
    </w:rPr>
  </w:style>
  <w:style w:type="paragraph" w:styleId="Heading1">
    <w:name w:val="heading 1"/>
    <w:basedOn w:val="Normal"/>
    <w:next w:val="Normal"/>
    <w:link w:val="Heading1Char"/>
    <w:qFormat/>
    <w:rsid w:val="0030704F"/>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
    <w:semiHidden/>
    <w:unhideWhenUsed/>
    <w:qFormat/>
    <w:rsid w:val="009F5C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660674"/>
    <w:pPr>
      <w:keepNext/>
      <w:spacing w:before="240" w:after="60" w:line="240" w:lineRule="auto"/>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04F"/>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
    <w:semiHidden/>
    <w:rsid w:val="009F5C33"/>
    <w:rPr>
      <w:rFonts w:asciiTheme="majorHAnsi" w:eastAsiaTheme="majorEastAsia" w:hAnsiTheme="majorHAnsi" w:cstheme="majorBidi"/>
      <w:b/>
      <w:bCs/>
      <w:color w:val="4F81BD" w:themeColor="accent1"/>
      <w:sz w:val="26"/>
      <w:szCs w:val="26"/>
      <w:lang w:val="en-GB"/>
    </w:rPr>
  </w:style>
  <w:style w:type="character" w:customStyle="1" w:styleId="Heading4Char">
    <w:name w:val="Heading 4 Char"/>
    <w:basedOn w:val="DefaultParagraphFont"/>
    <w:link w:val="Heading4"/>
    <w:rsid w:val="00660674"/>
    <w:rPr>
      <w:rFonts w:eastAsia="Times New Roman"/>
      <w:b/>
      <w:bCs/>
      <w:sz w:val="28"/>
      <w:szCs w:val="28"/>
      <w:lang w:val="en-GB"/>
    </w:rPr>
  </w:style>
  <w:style w:type="paragraph" w:styleId="ListParagraph">
    <w:name w:val="List Paragraph"/>
    <w:basedOn w:val="Normal"/>
    <w:uiPriority w:val="34"/>
    <w:qFormat/>
    <w:rsid w:val="00C65175"/>
    <w:pPr>
      <w:ind w:left="720"/>
    </w:pPr>
  </w:style>
  <w:style w:type="paragraph" w:styleId="Header">
    <w:name w:val="header"/>
    <w:basedOn w:val="Normal"/>
    <w:link w:val="HeaderChar"/>
    <w:uiPriority w:val="99"/>
    <w:rsid w:val="00610D1A"/>
    <w:pPr>
      <w:tabs>
        <w:tab w:val="center" w:pos="4680"/>
        <w:tab w:val="right" w:pos="9360"/>
      </w:tabs>
    </w:pPr>
  </w:style>
  <w:style w:type="character" w:customStyle="1" w:styleId="HeaderChar">
    <w:name w:val="Header Char"/>
    <w:basedOn w:val="DefaultParagraphFont"/>
    <w:link w:val="Header"/>
    <w:uiPriority w:val="99"/>
    <w:rsid w:val="00610D1A"/>
    <w:rPr>
      <w:sz w:val="22"/>
      <w:szCs w:val="22"/>
    </w:rPr>
  </w:style>
  <w:style w:type="paragraph" w:styleId="Footer">
    <w:name w:val="footer"/>
    <w:basedOn w:val="Normal"/>
    <w:link w:val="FooterChar"/>
    <w:rsid w:val="00610D1A"/>
    <w:pPr>
      <w:tabs>
        <w:tab w:val="center" w:pos="4680"/>
        <w:tab w:val="right" w:pos="9360"/>
      </w:tabs>
    </w:pPr>
  </w:style>
  <w:style w:type="character" w:customStyle="1" w:styleId="FooterChar">
    <w:name w:val="Footer Char"/>
    <w:basedOn w:val="DefaultParagraphFont"/>
    <w:link w:val="Footer"/>
    <w:rsid w:val="00610D1A"/>
    <w:rPr>
      <w:sz w:val="22"/>
      <w:szCs w:val="22"/>
    </w:rPr>
  </w:style>
  <w:style w:type="paragraph" w:styleId="BalloonText">
    <w:name w:val="Balloon Text"/>
    <w:aliases w:val=" Char5"/>
    <w:basedOn w:val="Normal"/>
    <w:link w:val="BalloonTextChar"/>
    <w:semiHidden/>
    <w:rsid w:val="001C356F"/>
    <w:pPr>
      <w:spacing w:after="0" w:line="240" w:lineRule="auto"/>
    </w:pPr>
    <w:rPr>
      <w:rFonts w:ascii="Tahoma" w:hAnsi="Tahoma" w:cs="Tahoma"/>
      <w:sz w:val="16"/>
      <w:szCs w:val="16"/>
    </w:rPr>
  </w:style>
  <w:style w:type="character" w:customStyle="1" w:styleId="BalloonTextChar">
    <w:name w:val="Balloon Text Char"/>
    <w:aliases w:val=" Char5 Char"/>
    <w:basedOn w:val="DefaultParagraphFont"/>
    <w:link w:val="BalloonText"/>
    <w:semiHidden/>
    <w:rsid w:val="001C356F"/>
    <w:rPr>
      <w:rFonts w:ascii="Tahoma" w:hAnsi="Tahoma" w:cs="Tahoma"/>
      <w:sz w:val="16"/>
      <w:szCs w:val="16"/>
    </w:rPr>
  </w:style>
  <w:style w:type="character" w:styleId="CommentReference">
    <w:name w:val="annotation reference"/>
    <w:basedOn w:val="DefaultParagraphFont"/>
    <w:uiPriority w:val="99"/>
    <w:semiHidden/>
    <w:rsid w:val="00277B26"/>
    <w:rPr>
      <w:sz w:val="16"/>
      <w:szCs w:val="16"/>
    </w:rPr>
  </w:style>
  <w:style w:type="paragraph" w:styleId="CommentText">
    <w:name w:val="annotation text"/>
    <w:aliases w:val=" Char4, Char2"/>
    <w:basedOn w:val="Normal"/>
    <w:link w:val="CommentTextChar"/>
    <w:uiPriority w:val="99"/>
    <w:semiHidden/>
    <w:rsid w:val="00277B26"/>
    <w:rPr>
      <w:sz w:val="20"/>
      <w:szCs w:val="20"/>
    </w:rPr>
  </w:style>
  <w:style w:type="character" w:customStyle="1" w:styleId="CommentTextChar">
    <w:name w:val="Comment Text Char"/>
    <w:aliases w:val=" Char4 Char, Char2 Char"/>
    <w:basedOn w:val="DefaultParagraphFont"/>
    <w:link w:val="CommentText"/>
    <w:uiPriority w:val="99"/>
    <w:semiHidden/>
    <w:rsid w:val="00277B26"/>
  </w:style>
  <w:style w:type="paragraph" w:styleId="CommentSubject">
    <w:name w:val="annotation subject"/>
    <w:basedOn w:val="CommentText"/>
    <w:next w:val="CommentText"/>
    <w:link w:val="CommentSubjectChar"/>
    <w:semiHidden/>
    <w:rsid w:val="00277B26"/>
    <w:rPr>
      <w:b/>
      <w:bCs/>
    </w:rPr>
  </w:style>
  <w:style w:type="character" w:customStyle="1" w:styleId="CommentSubjectChar">
    <w:name w:val="Comment Subject Char"/>
    <w:basedOn w:val="CommentTextChar"/>
    <w:link w:val="CommentSubject"/>
    <w:semiHidden/>
    <w:rsid w:val="00277B26"/>
    <w:rPr>
      <w:b/>
      <w:bCs/>
    </w:rPr>
  </w:style>
  <w:style w:type="paragraph" w:styleId="FootnoteText">
    <w:name w:val="footnote text"/>
    <w:basedOn w:val="Normal"/>
    <w:link w:val="FootnoteTextChar"/>
    <w:semiHidden/>
    <w:rsid w:val="00F73B9D"/>
    <w:rPr>
      <w:sz w:val="20"/>
      <w:szCs w:val="20"/>
    </w:rPr>
  </w:style>
  <w:style w:type="character" w:customStyle="1" w:styleId="FootnoteTextChar">
    <w:name w:val="Footnote Text Char"/>
    <w:basedOn w:val="DefaultParagraphFont"/>
    <w:link w:val="FootnoteText"/>
    <w:semiHidden/>
    <w:rsid w:val="00F73B9D"/>
  </w:style>
  <w:style w:type="character" w:styleId="FootnoteReference">
    <w:name w:val="footnote reference"/>
    <w:basedOn w:val="DefaultParagraphFont"/>
    <w:semiHidden/>
    <w:rsid w:val="00F73B9D"/>
    <w:rPr>
      <w:vertAlign w:val="superscript"/>
    </w:rPr>
  </w:style>
  <w:style w:type="paragraph" w:styleId="NoSpacing">
    <w:name w:val="No Spacing"/>
    <w:uiPriority w:val="1"/>
    <w:qFormat/>
    <w:rsid w:val="004B5C2C"/>
    <w:rPr>
      <w:rFonts w:cs="Calibri"/>
      <w:sz w:val="22"/>
      <w:szCs w:val="22"/>
    </w:rPr>
  </w:style>
  <w:style w:type="table" w:styleId="TableGrid">
    <w:name w:val="Table Grid"/>
    <w:basedOn w:val="TableNormal"/>
    <w:uiPriority w:val="99"/>
    <w:rsid w:val="00EE72B5"/>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semiHidden/>
    <w:rsid w:val="0030704F"/>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30704F"/>
    <w:rPr>
      <w:rFonts w:ascii="Times New Roman" w:hAnsi="Times New Roman" w:cs="Times New Roman"/>
      <w:lang w:eastAsia="en-US"/>
    </w:rPr>
  </w:style>
  <w:style w:type="character" w:styleId="EndnoteReference">
    <w:name w:val="endnote reference"/>
    <w:basedOn w:val="DefaultParagraphFont"/>
    <w:semiHidden/>
    <w:rsid w:val="0030704F"/>
    <w:rPr>
      <w:vertAlign w:val="superscript"/>
    </w:rPr>
  </w:style>
  <w:style w:type="paragraph" w:styleId="BodyText2">
    <w:name w:val="Body Text 2"/>
    <w:aliases w:val="Body Text Indent Char1,Body Text Indent Char Char,Char Char Char"/>
    <w:basedOn w:val="Normal"/>
    <w:link w:val="BodyText2Char1"/>
    <w:uiPriority w:val="99"/>
    <w:rsid w:val="00B85B2D"/>
    <w:pPr>
      <w:spacing w:after="120" w:line="240" w:lineRule="auto"/>
      <w:ind w:left="283"/>
    </w:pPr>
    <w:rPr>
      <w:rFonts w:ascii="Times New Roman" w:eastAsia="Times New Roman" w:hAnsi="Times New Roman" w:cs="Times New Roman"/>
      <w:sz w:val="24"/>
      <w:szCs w:val="24"/>
    </w:rPr>
  </w:style>
  <w:style w:type="character" w:customStyle="1" w:styleId="BodyText2Char1">
    <w:name w:val="Body Text 2 Char1"/>
    <w:aliases w:val="Body Text Indent Char1 Char,Body Text Indent Char Char Char,Char Char Char Char"/>
    <w:basedOn w:val="DefaultParagraphFont"/>
    <w:link w:val="BodyText2"/>
    <w:uiPriority w:val="99"/>
    <w:rsid w:val="00B85B2D"/>
    <w:rPr>
      <w:rFonts w:ascii="Times New Roman" w:hAnsi="Times New Roman" w:cs="Times New Roman"/>
      <w:sz w:val="24"/>
      <w:szCs w:val="24"/>
      <w:lang w:val="en-GB"/>
    </w:rPr>
  </w:style>
  <w:style w:type="character" w:customStyle="1" w:styleId="BodyText2Char">
    <w:name w:val="Body Text 2 Char"/>
    <w:basedOn w:val="DefaultParagraphFont"/>
    <w:semiHidden/>
    <w:rsid w:val="008D11CA"/>
    <w:rPr>
      <w:rFonts w:ascii="Arial" w:hAnsi="Arial" w:cs="Arial"/>
      <w:b/>
      <w:bCs/>
      <w:sz w:val="24"/>
      <w:szCs w:val="24"/>
      <w:lang w:val="en-GB"/>
    </w:rPr>
  </w:style>
  <w:style w:type="character" w:styleId="Hyperlink">
    <w:name w:val="Hyperlink"/>
    <w:basedOn w:val="DefaultParagraphFont"/>
    <w:rsid w:val="00011B8B"/>
    <w:rPr>
      <w:color w:val="0000FF"/>
      <w:u w:val="single"/>
    </w:rPr>
  </w:style>
  <w:style w:type="paragraph" w:styleId="BodyTextIndent">
    <w:name w:val="Body Text Indent"/>
    <w:aliases w:val=" Char"/>
    <w:basedOn w:val="Normal"/>
    <w:link w:val="BodyTextIndentChar"/>
    <w:unhideWhenUsed/>
    <w:rsid w:val="00BF50E9"/>
    <w:pPr>
      <w:spacing w:after="120"/>
      <w:ind w:left="283"/>
    </w:pPr>
  </w:style>
  <w:style w:type="character" w:customStyle="1" w:styleId="BodyTextIndentChar">
    <w:name w:val="Body Text Indent Char"/>
    <w:aliases w:val=" Char Char"/>
    <w:basedOn w:val="DefaultParagraphFont"/>
    <w:link w:val="BodyTextIndent"/>
    <w:rsid w:val="00BF50E9"/>
    <w:rPr>
      <w:rFonts w:cs="Calibri"/>
      <w:sz w:val="22"/>
      <w:szCs w:val="22"/>
    </w:rPr>
  </w:style>
  <w:style w:type="paragraph" w:customStyle="1" w:styleId="CharCharCharCharCharCharCharCharCharCharCharCharCharCharCharChar">
    <w:name w:val="Char Char Char Char Char Char Char Char Char Char Char Char Char Char Char Char"/>
    <w:basedOn w:val="Normal"/>
    <w:rsid w:val="00BF50E9"/>
    <w:pPr>
      <w:spacing w:after="160" w:line="240" w:lineRule="exact"/>
    </w:pPr>
    <w:rPr>
      <w:rFonts w:ascii="Tahoma" w:eastAsia="Times New Roman" w:hAnsi="Tahoma" w:cs="Times New Roman"/>
      <w:sz w:val="20"/>
      <w:szCs w:val="20"/>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BF50E9"/>
    <w:pPr>
      <w:spacing w:after="160" w:line="240" w:lineRule="exact"/>
    </w:pPr>
    <w:rPr>
      <w:rFonts w:ascii="Tahoma" w:eastAsia="Times New Roman" w:hAnsi="Tahoma" w:cs="Times New Roman"/>
      <w:sz w:val="20"/>
      <w:szCs w:val="20"/>
    </w:rPr>
  </w:style>
  <w:style w:type="character" w:customStyle="1" w:styleId="Char2Char">
    <w:name w:val="Char2 Char"/>
    <w:semiHidden/>
    <w:rsid w:val="00BF50E9"/>
    <w:rPr>
      <w:rFonts w:ascii="Times New Roman" w:eastAsia="Times New Roman" w:hAnsi="Times New Roman" w:cs="Times New Roman"/>
      <w:sz w:val="20"/>
      <w:szCs w:val="20"/>
      <w:lang w:val="en-GB"/>
    </w:rPr>
  </w:style>
  <w:style w:type="character" w:styleId="Emphasis">
    <w:name w:val="Emphasis"/>
    <w:uiPriority w:val="20"/>
    <w:qFormat/>
    <w:rsid w:val="00BF50E9"/>
    <w:rPr>
      <w:i/>
      <w:iCs/>
    </w:rPr>
  </w:style>
  <w:style w:type="paragraph" w:styleId="Revision">
    <w:name w:val="Revision"/>
    <w:hidden/>
    <w:uiPriority w:val="99"/>
    <w:semiHidden/>
    <w:rsid w:val="00BF50E9"/>
    <w:rPr>
      <w:rFonts w:eastAsia="Times New Roman" w:cs="Calibri"/>
      <w:sz w:val="22"/>
      <w:szCs w:val="22"/>
    </w:rPr>
  </w:style>
  <w:style w:type="paragraph" w:customStyle="1" w:styleId="FigureTable">
    <w:name w:val="Figure/Table"/>
    <w:basedOn w:val="Normal"/>
    <w:next w:val="Normal"/>
    <w:uiPriority w:val="99"/>
    <w:rsid w:val="00BF50E9"/>
    <w:pPr>
      <w:spacing w:before="120" w:after="240" w:line="300" w:lineRule="exact"/>
    </w:pPr>
    <w:rPr>
      <w:rFonts w:ascii="Arial" w:eastAsia="Times New Roman" w:hAnsi="Arial" w:cs="Times New Roman"/>
      <w:b/>
      <w:w w:val="106"/>
      <w:sz w:val="20"/>
      <w:szCs w:val="18"/>
      <w:lang w:eastAsia="en-GB"/>
    </w:rPr>
  </w:style>
  <w:style w:type="paragraph" w:customStyle="1" w:styleId="FDBPTableText">
    <w:name w:val="FDBP Table Text"/>
    <w:basedOn w:val="Normal"/>
    <w:rsid w:val="00BF50E9"/>
    <w:pPr>
      <w:spacing w:before="40" w:after="40" w:line="240" w:lineRule="auto"/>
    </w:pPr>
    <w:rPr>
      <w:rFonts w:ascii="Arial" w:eastAsia="Times New Roman" w:hAnsi="Arial" w:cs="Times New Roman"/>
      <w:color w:val="000000"/>
      <w:w w:val="106"/>
      <w:sz w:val="16"/>
      <w:szCs w:val="16"/>
      <w:lang w:eastAsia="en-GB"/>
    </w:rPr>
  </w:style>
  <w:style w:type="paragraph" w:customStyle="1" w:styleId="Default">
    <w:name w:val="Default"/>
    <w:uiPriority w:val="99"/>
    <w:rsid w:val="00BF50E9"/>
    <w:pPr>
      <w:autoSpaceDE w:val="0"/>
      <w:autoSpaceDN w:val="0"/>
      <w:adjustRightInd w:val="0"/>
    </w:pPr>
    <w:rPr>
      <w:rFonts w:eastAsia="Times New Roman" w:cs="Calibri"/>
      <w:color w:val="000000"/>
      <w:sz w:val="24"/>
      <w:szCs w:val="24"/>
      <w:lang w:val="en-GB" w:eastAsia="en-GB"/>
    </w:rPr>
  </w:style>
  <w:style w:type="paragraph" w:customStyle="1" w:styleId="FDBPTableTextChar">
    <w:name w:val="FDBP Table Text Char"/>
    <w:basedOn w:val="Normal"/>
    <w:uiPriority w:val="99"/>
    <w:rsid w:val="00BF50E9"/>
    <w:pPr>
      <w:spacing w:before="40" w:after="40" w:line="240" w:lineRule="auto"/>
    </w:pPr>
    <w:rPr>
      <w:rFonts w:ascii="Arial" w:eastAsia="Times New Roman" w:hAnsi="Arial" w:cs="Arial"/>
      <w:color w:val="000000"/>
      <w:w w:val="106"/>
      <w:sz w:val="16"/>
      <w:szCs w:val="16"/>
      <w:lang w:eastAsia="en-GB"/>
    </w:rPr>
  </w:style>
  <w:style w:type="character" w:customStyle="1" w:styleId="Board">
    <w:name w:val="Board_"/>
    <w:rsid w:val="002A2883"/>
    <w:rPr>
      <w:rFonts w:ascii="Arial" w:hAnsi="Arial"/>
      <w:sz w:val="22"/>
    </w:rPr>
  </w:style>
  <w:style w:type="paragraph" w:styleId="NormalWeb">
    <w:name w:val="Normal (Web)"/>
    <w:basedOn w:val="Normal"/>
    <w:uiPriority w:val="99"/>
    <w:semiHidden/>
    <w:unhideWhenUsed/>
    <w:rsid w:val="002B634F"/>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984396">
      <w:bodyDiv w:val="1"/>
      <w:marLeft w:val="0"/>
      <w:marRight w:val="0"/>
      <w:marTop w:val="0"/>
      <w:marBottom w:val="0"/>
      <w:divBdr>
        <w:top w:val="none" w:sz="0" w:space="0" w:color="auto"/>
        <w:left w:val="none" w:sz="0" w:space="0" w:color="auto"/>
        <w:bottom w:val="none" w:sz="0" w:space="0" w:color="auto"/>
        <w:right w:val="none" w:sz="0" w:space="0" w:color="auto"/>
      </w:divBdr>
    </w:div>
    <w:div w:id="1176963499">
      <w:bodyDiv w:val="1"/>
      <w:marLeft w:val="0"/>
      <w:marRight w:val="0"/>
      <w:marTop w:val="0"/>
      <w:marBottom w:val="0"/>
      <w:divBdr>
        <w:top w:val="none" w:sz="0" w:space="0" w:color="auto"/>
        <w:left w:val="none" w:sz="0" w:space="0" w:color="auto"/>
        <w:bottom w:val="none" w:sz="0" w:space="0" w:color="auto"/>
        <w:right w:val="none" w:sz="0" w:space="0" w:color="auto"/>
      </w:divBdr>
    </w:div>
    <w:div w:id="1216043664">
      <w:bodyDiv w:val="1"/>
      <w:marLeft w:val="0"/>
      <w:marRight w:val="0"/>
      <w:marTop w:val="0"/>
      <w:marBottom w:val="0"/>
      <w:divBdr>
        <w:top w:val="none" w:sz="0" w:space="0" w:color="auto"/>
        <w:left w:val="none" w:sz="0" w:space="0" w:color="auto"/>
        <w:bottom w:val="none" w:sz="0" w:space="0" w:color="auto"/>
        <w:right w:val="none" w:sz="0" w:space="0" w:color="auto"/>
      </w:divBdr>
    </w:div>
    <w:div w:id="1457601129">
      <w:bodyDiv w:val="1"/>
      <w:marLeft w:val="0"/>
      <w:marRight w:val="0"/>
      <w:marTop w:val="0"/>
      <w:marBottom w:val="0"/>
      <w:divBdr>
        <w:top w:val="none" w:sz="0" w:space="0" w:color="auto"/>
        <w:left w:val="none" w:sz="0" w:space="0" w:color="auto"/>
        <w:bottom w:val="none" w:sz="0" w:space="0" w:color="auto"/>
        <w:right w:val="none" w:sz="0" w:space="0" w:color="auto"/>
      </w:divBdr>
    </w:div>
    <w:div w:id="1706447116">
      <w:bodyDiv w:val="1"/>
      <w:marLeft w:val="0"/>
      <w:marRight w:val="0"/>
      <w:marTop w:val="0"/>
      <w:marBottom w:val="0"/>
      <w:divBdr>
        <w:top w:val="none" w:sz="0" w:space="0" w:color="auto"/>
        <w:left w:val="none" w:sz="0" w:space="0" w:color="auto"/>
        <w:bottom w:val="none" w:sz="0" w:space="0" w:color="auto"/>
        <w:right w:val="none" w:sz="0" w:space="0" w:color="auto"/>
      </w:divBdr>
    </w:div>
    <w:div w:id="1764645535">
      <w:bodyDiv w:val="1"/>
      <w:marLeft w:val="0"/>
      <w:marRight w:val="0"/>
      <w:marTop w:val="0"/>
      <w:marBottom w:val="0"/>
      <w:divBdr>
        <w:top w:val="none" w:sz="0" w:space="0" w:color="auto"/>
        <w:left w:val="none" w:sz="0" w:space="0" w:color="auto"/>
        <w:bottom w:val="none" w:sz="0" w:space="0" w:color="auto"/>
        <w:right w:val="none" w:sz="0" w:space="0" w:color="auto"/>
      </w:divBdr>
    </w:div>
    <w:div w:id="1932539563">
      <w:bodyDiv w:val="1"/>
      <w:marLeft w:val="0"/>
      <w:marRight w:val="0"/>
      <w:marTop w:val="0"/>
      <w:marBottom w:val="0"/>
      <w:divBdr>
        <w:top w:val="none" w:sz="0" w:space="0" w:color="auto"/>
        <w:left w:val="none" w:sz="0" w:space="0" w:color="auto"/>
        <w:bottom w:val="none" w:sz="0" w:space="0" w:color="auto"/>
        <w:right w:val="none" w:sz="0" w:space="0" w:color="auto"/>
      </w:divBdr>
    </w:div>
    <w:div w:id="1981762315">
      <w:bodyDiv w:val="1"/>
      <w:marLeft w:val="0"/>
      <w:marRight w:val="0"/>
      <w:marTop w:val="0"/>
      <w:marBottom w:val="0"/>
      <w:divBdr>
        <w:top w:val="none" w:sz="0" w:space="0" w:color="auto"/>
        <w:left w:val="none" w:sz="0" w:space="0" w:color="auto"/>
        <w:bottom w:val="none" w:sz="0" w:space="0" w:color="auto"/>
        <w:right w:val="none" w:sz="0" w:space="0" w:color="auto"/>
      </w:divBdr>
    </w:div>
    <w:div w:id="199270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cotland.gov.uk/Resource/Doc/917/0088613.pdf"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swad.net\fps\cah\data$\OMG\OMGWG%20papers\2016%20papers\(1)%20February%202016\Archive\OMD%20chart.xlsx" TargetMode="External"/><Relationship Id="rId1" Type="http://schemas.openxmlformats.org/officeDocument/2006/relationships/image" Target="../media/image1.pn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cat>
            <c:numRef>
              <c:f>Sheet1!$B$2:$B$5</c:f>
              <c:numCache>
                <c:formatCode>mmm\-yy</c:formatCode>
                <c:ptCount val="4"/>
                <c:pt idx="0">
                  <c:v>42156</c:v>
                </c:pt>
                <c:pt idx="1">
                  <c:v>42248</c:v>
                </c:pt>
                <c:pt idx="2">
                  <c:v>42339</c:v>
                </c:pt>
                <c:pt idx="3">
                  <c:v>42430</c:v>
                </c:pt>
              </c:numCache>
            </c:numRef>
          </c:cat>
          <c:val>
            <c:numRef>
              <c:f>Sheet1!$C$2:$C$5</c:f>
              <c:numCache>
                <c:formatCode>General</c:formatCode>
                <c:ptCount val="4"/>
              </c:numCache>
            </c:numRef>
          </c:val>
        </c:ser>
        <c:ser>
          <c:idx val="1"/>
          <c:order val="1"/>
          <c:spPr>
            <a:solidFill>
              <a:schemeClr val="tx2">
                <a:lumMod val="60000"/>
                <a:lumOff val="40000"/>
              </a:schemeClr>
            </a:solidFill>
          </c:spPr>
          <c:invertIfNegative val="0"/>
          <c:dPt>
            <c:idx val="0"/>
            <c:invertIfNegative val="0"/>
            <c:bubble3D val="0"/>
            <c:spPr>
              <a:solidFill>
                <a:schemeClr val="tx2"/>
              </a:solidFill>
            </c:spPr>
          </c:dPt>
          <c:dPt>
            <c:idx val="1"/>
            <c:invertIfNegative val="0"/>
            <c:bubble3D val="0"/>
            <c:spPr>
              <a:solidFill>
                <a:schemeClr val="tx2"/>
              </a:solidFill>
            </c:spPr>
          </c:dPt>
          <c:dPt>
            <c:idx val="2"/>
            <c:invertIfNegative val="0"/>
            <c:bubble3D val="0"/>
            <c:spPr>
              <a:solidFill>
                <a:schemeClr val="tx2"/>
              </a:solidFill>
            </c:spPr>
          </c:dPt>
          <c:cat>
            <c:numRef>
              <c:f>Sheet1!$B$2:$B$5</c:f>
              <c:numCache>
                <c:formatCode>mmm\-yy</c:formatCode>
                <c:ptCount val="4"/>
                <c:pt idx="0">
                  <c:v>42156</c:v>
                </c:pt>
                <c:pt idx="1">
                  <c:v>42248</c:v>
                </c:pt>
                <c:pt idx="2">
                  <c:v>42339</c:v>
                </c:pt>
                <c:pt idx="3">
                  <c:v>42430</c:v>
                </c:pt>
              </c:numCache>
            </c:numRef>
          </c:cat>
          <c:val>
            <c:numRef>
              <c:f>Sheet1!$D$2:$D$5</c:f>
              <c:numCache>
                <c:formatCode>General</c:formatCode>
                <c:ptCount val="4"/>
                <c:pt idx="0">
                  <c:v>32.200000000000003</c:v>
                </c:pt>
                <c:pt idx="1">
                  <c:v>41.1</c:v>
                </c:pt>
                <c:pt idx="2">
                  <c:v>49.6</c:v>
                </c:pt>
                <c:pt idx="3">
                  <c:v>72.3</c:v>
                </c:pt>
              </c:numCache>
            </c:numRef>
          </c:val>
        </c:ser>
        <c:ser>
          <c:idx val="2"/>
          <c:order val="2"/>
          <c:invertIfNegative val="0"/>
          <c:dPt>
            <c:idx val="3"/>
            <c:invertIfNegative val="0"/>
            <c:bubble3D val="0"/>
            <c:spPr>
              <a:blipFill>
                <a:blip xmlns:r="http://schemas.openxmlformats.org/officeDocument/2006/relationships" r:embed="rId1"/>
                <a:stretch>
                  <a:fillRect/>
                </a:stretch>
              </a:blipFill>
            </c:spPr>
          </c:dPt>
          <c:cat>
            <c:numRef>
              <c:f>Sheet1!$B$2:$B$5</c:f>
              <c:numCache>
                <c:formatCode>mmm\-yy</c:formatCode>
                <c:ptCount val="4"/>
                <c:pt idx="0">
                  <c:v>42156</c:v>
                </c:pt>
                <c:pt idx="1">
                  <c:v>42248</c:v>
                </c:pt>
                <c:pt idx="2">
                  <c:v>42339</c:v>
                </c:pt>
                <c:pt idx="3">
                  <c:v>42430</c:v>
                </c:pt>
              </c:numCache>
            </c:numRef>
          </c:cat>
          <c:val>
            <c:numRef>
              <c:f>Sheet1!$E$2:$E$5</c:f>
              <c:numCache>
                <c:formatCode>General</c:formatCode>
                <c:ptCount val="4"/>
              </c:numCache>
            </c:numRef>
          </c:val>
        </c:ser>
        <c:dLbls>
          <c:showLegendKey val="0"/>
          <c:showVal val="0"/>
          <c:showCatName val="0"/>
          <c:showSerName val="0"/>
          <c:showPercent val="0"/>
          <c:showBubbleSize val="0"/>
        </c:dLbls>
        <c:gapWidth val="0"/>
        <c:overlap val="100"/>
        <c:axId val="72804992"/>
        <c:axId val="38085376"/>
      </c:barChart>
      <c:dateAx>
        <c:axId val="72804992"/>
        <c:scaling>
          <c:orientation val="minMax"/>
          <c:min val="42156"/>
        </c:scaling>
        <c:delete val="0"/>
        <c:axPos val="b"/>
        <c:title>
          <c:tx>
            <c:rich>
              <a:bodyPr/>
              <a:lstStyle/>
              <a:p>
                <a:pPr>
                  <a:defRPr/>
                </a:pPr>
                <a:r>
                  <a:rPr lang="en-US"/>
                  <a:t>Actual /Forecast</a:t>
                </a:r>
              </a:p>
            </c:rich>
          </c:tx>
          <c:layout/>
          <c:overlay val="0"/>
        </c:title>
        <c:numFmt formatCode="mmm\-yy" sourceLinked="1"/>
        <c:majorTickMark val="out"/>
        <c:minorTickMark val="none"/>
        <c:tickLblPos val="nextTo"/>
        <c:crossAx val="38085376"/>
        <c:crosses val="autoZero"/>
        <c:auto val="1"/>
        <c:lblOffset val="100"/>
        <c:baseTimeUnit val="months"/>
        <c:majorUnit val="3"/>
        <c:majorTimeUnit val="months"/>
      </c:dateAx>
      <c:valAx>
        <c:axId val="38085376"/>
        <c:scaling>
          <c:orientation val="minMax"/>
          <c:max val="100"/>
        </c:scaling>
        <c:delete val="0"/>
        <c:axPos val="l"/>
        <c:majorGridlines>
          <c:spPr>
            <a:ln>
              <a:noFill/>
            </a:ln>
          </c:spPr>
        </c:majorGridlines>
        <c:title>
          <c:tx>
            <c:rich>
              <a:bodyPr rot="-5400000" vert="horz"/>
              <a:lstStyle/>
              <a:p>
                <a:pPr>
                  <a:defRPr/>
                </a:pPr>
                <a:r>
                  <a:rPr lang="en-GB"/>
                  <a:t>OMD Points</a:t>
                </a:r>
              </a:p>
            </c:rich>
          </c:tx>
          <c:layout/>
          <c:overlay val="0"/>
        </c:title>
        <c:numFmt formatCode="General" sourceLinked="1"/>
        <c:majorTickMark val="out"/>
        <c:minorTickMark val="none"/>
        <c:tickLblPos val="nextTo"/>
        <c:crossAx val="72804992"/>
        <c:crosses val="autoZero"/>
        <c:crossBetween val="between"/>
      </c:valAx>
    </c:plotArea>
    <c:plotVisOnly val="1"/>
    <c:dispBlanksAs val="gap"/>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0.89047</cdr:x>
      <cdr:y>0.22642</cdr:y>
    </cdr:from>
    <cdr:to>
      <cdr:x>0.96201</cdr:x>
      <cdr:y>0.22642</cdr:y>
    </cdr:to>
    <cdr:cxnSp macro="">
      <cdr:nvCxnSpPr>
        <cdr:cNvPr id="2" name="Straight Connector 1"/>
        <cdr:cNvCxnSpPr/>
      </cdr:nvCxnSpPr>
      <cdr:spPr>
        <a:xfrm xmlns:a="http://schemas.openxmlformats.org/drawingml/2006/main">
          <a:off x="4080295" y="621102"/>
          <a:ext cx="327803" cy="0"/>
        </a:xfrm>
        <a:prstGeom xmlns:a="http://schemas.openxmlformats.org/drawingml/2006/main" prst="line">
          <a:avLst/>
        </a:prstGeom>
        <a:ln xmlns:a="http://schemas.openxmlformats.org/drawingml/2006/main" w="381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0.89215</cdr:x>
      <cdr:y>0.28267</cdr:y>
    </cdr:from>
    <cdr:to>
      <cdr:x>0.96369</cdr:x>
      <cdr:y>0.28267</cdr:y>
    </cdr:to>
    <cdr:cxnSp macro="">
      <cdr:nvCxnSpPr>
        <cdr:cNvPr id="5" name="Straight Connector 4"/>
        <cdr:cNvCxnSpPr/>
      </cdr:nvCxnSpPr>
      <cdr:spPr>
        <a:xfrm xmlns:a="http://schemas.openxmlformats.org/drawingml/2006/main">
          <a:off x="4087963" y="775419"/>
          <a:ext cx="327803" cy="0"/>
        </a:xfrm>
        <a:prstGeom xmlns:a="http://schemas.openxmlformats.org/drawingml/2006/main" prst="line">
          <a:avLst/>
        </a:prstGeom>
        <a:ln xmlns:a="http://schemas.openxmlformats.org/drawingml/2006/main" w="381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0.92624</cdr:x>
      <cdr:y>0.22327</cdr:y>
    </cdr:from>
    <cdr:to>
      <cdr:x>0.92624</cdr:x>
      <cdr:y>0.28302</cdr:y>
    </cdr:to>
    <cdr:cxnSp macro="">
      <cdr:nvCxnSpPr>
        <cdr:cNvPr id="7" name="Straight Connector 6"/>
        <cdr:cNvCxnSpPr/>
      </cdr:nvCxnSpPr>
      <cdr:spPr>
        <a:xfrm xmlns:a="http://schemas.openxmlformats.org/drawingml/2006/main">
          <a:off x="4244196" y="612475"/>
          <a:ext cx="0" cy="163902"/>
        </a:xfrm>
        <a:prstGeom xmlns:a="http://schemas.openxmlformats.org/drawingml/2006/main" prst="line">
          <a:avLst/>
        </a:prstGeom>
        <a:ln xmlns:a="http://schemas.openxmlformats.org/drawingml/2006/main" w="381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0.57231</cdr:x>
      <cdr:y>0.13208</cdr:y>
    </cdr:from>
    <cdr:to>
      <cdr:x>0.86223</cdr:x>
      <cdr:y>0.21384</cdr:y>
    </cdr:to>
    <cdr:sp macro="" textlink="">
      <cdr:nvSpPr>
        <cdr:cNvPr id="8" name="Text Box 7"/>
        <cdr:cNvSpPr txBox="1"/>
      </cdr:nvSpPr>
      <cdr:spPr>
        <a:xfrm xmlns:a="http://schemas.openxmlformats.org/drawingml/2006/main">
          <a:off x="2622429" y="362309"/>
          <a:ext cx="1328468" cy="22428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t>Delivery Plan target range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8824aa3-dd14-4958-87e9-1bc1f94fd501">
      <Value>32</Value>
    </TaxCatchAll>
    <d3bc2c9e3a1e4f8a9c169b72db4c4114 xmlns="88824aa3-dd14-4958-87e9-1bc1f94fd501">
      <Terms xmlns="http://schemas.microsoft.com/office/infopath/2007/PartnerControls"/>
    </d3bc2c9e3a1e4f8a9c169b72db4c4114>
    <j67f139041104a0d944584107fdf8ad8 xmlns="ae02c7b9-42e9-498f-908a-7781b9d40766">
      <Terms xmlns="http://schemas.microsoft.com/office/infopath/2007/PartnerControls">
        <TermInfo xmlns="http://schemas.microsoft.com/office/infopath/2007/PartnerControls">
          <TermName xmlns="http://schemas.microsoft.com/office/infopath/2007/PartnerControls">OMG</TermName>
          <TermId xmlns="http://schemas.microsoft.com/office/infopath/2007/PartnerControls">07bd6a31-5122-4435-91b9-0d24f2a2a305</TermId>
        </TermInfo>
      </Terms>
    </j67f139041104a0d944584107fdf8ad8>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9CEC73B497CBF74DA8E29DAA0C971484" ma:contentTypeVersion="6" ma:contentTypeDescription="Create a new document." ma:contentTypeScope="" ma:versionID="045e19ac76acd49f488ec993c0706a63">
  <xsd:schema xmlns:xsd="http://www.w3.org/2001/XMLSchema" xmlns:xs="http://www.w3.org/2001/XMLSchema" xmlns:p="http://schemas.microsoft.com/office/2006/metadata/properties" xmlns:ns2="88824aa3-dd14-4958-87e9-1bc1f94fd501" xmlns:ns3="ae02c7b9-42e9-498f-908a-7781b9d40766" targetNamespace="http://schemas.microsoft.com/office/2006/metadata/properties" ma:root="true" ma:fieldsID="47b5d6ce60edf2fc10a0bbb5da73c4e6" ns2:_="" ns3:_="">
    <xsd:import namespace="88824aa3-dd14-4958-87e9-1bc1f94fd501"/>
    <xsd:import namespace="ae02c7b9-42e9-498f-908a-7781b9d40766"/>
    <xsd:element name="properties">
      <xsd:complexType>
        <xsd:sequence>
          <xsd:element name="documentManagement">
            <xsd:complexType>
              <xsd:all>
                <xsd:element ref="ns2:d3bc2c9e3a1e4f8a9c169b72db4c4114" minOccurs="0"/>
                <xsd:element ref="ns2:TaxCatchAll" minOccurs="0"/>
                <xsd:element ref="ns3:j67f139041104a0d944584107fdf8ad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24aa3-dd14-4958-87e9-1bc1f94fd501" elementFormDefault="qualified">
    <xsd:import namespace="http://schemas.microsoft.com/office/2006/documentManagement/types"/>
    <xsd:import namespace="http://schemas.microsoft.com/office/infopath/2007/PartnerControls"/>
    <xsd:element name="d3bc2c9e3a1e4f8a9c169b72db4c4114" ma:index="9" nillable="true" ma:taxonomy="true" ma:internalName="d3bc2c9e3a1e4f8a9c169b72db4c4114" ma:taxonomyFieldName="Financial_x0020_Years" ma:displayName="Financial Years" ma:indexed="true" ma:default="" ma:fieldId="{d3bc2c9e-3a1e-4f8a-9c16-9b72db4c4114}" ma:sspId="f924a736-b285-4c68-8cdb-5ccf3ff341b6" ma:termSetId="e3db7dc0-d157-4e6b-95e0-f2d210bd78ba"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3cc0c730-c317-4740-af4e-6e8efa0c11e5}" ma:internalName="TaxCatchAll" ma:showField="CatchAllData" ma:web="88824aa3-dd14-4958-87e9-1bc1f94fd5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02c7b9-42e9-498f-908a-7781b9d40766" elementFormDefault="qualified">
    <xsd:import namespace="http://schemas.microsoft.com/office/2006/documentManagement/types"/>
    <xsd:import namespace="http://schemas.microsoft.com/office/infopath/2007/PartnerControls"/>
    <xsd:element name="j67f139041104a0d944584107fdf8ad8" ma:index="12" nillable="true" ma:taxonomy="true" ma:internalName="j67f139041104a0d944584107fdf8ad8" ma:taxonomyFieldName="Outputs_x0020_Monitoring_x0020_Group_x0020_Area" ma:displayName="Outputs Monitoring Group Area" ma:indexed="true" ma:default="" ma:fieldId="{367f1390-4110-4a0d-9445-84107fdf8ad8}" ma:sspId="f924a736-b285-4c68-8cdb-5ccf3ff341b6" ma:termSetId="d34ced28-b7a7-4119-9ce4-4804e4315cf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B5303-9B1E-42F6-86AE-90BBA31ECD86}">
  <ds:schemaRefs>
    <ds:schemaRef ds:uri="http://schemas.microsoft.com/sharepoint/v3/contenttype/forms"/>
  </ds:schemaRefs>
</ds:datastoreItem>
</file>

<file path=customXml/itemProps2.xml><?xml version="1.0" encoding="utf-8"?>
<ds:datastoreItem xmlns:ds="http://schemas.openxmlformats.org/officeDocument/2006/customXml" ds:itemID="{19780E75-9E9D-4E51-A456-CF192A0147FD}">
  <ds:schemaRefs>
    <ds:schemaRef ds:uri="http://schemas.microsoft.com/office/2006/metadata/properties"/>
    <ds:schemaRef ds:uri="ae02c7b9-42e9-498f-908a-7781b9d40766"/>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88824aa3-dd14-4958-87e9-1bc1f94fd501"/>
    <ds:schemaRef ds:uri="http://www.w3.org/XML/1998/namespace"/>
    <ds:schemaRef ds:uri="http://purl.org/dc/dcmitype/"/>
  </ds:schemaRefs>
</ds:datastoreItem>
</file>

<file path=customXml/itemProps3.xml><?xml version="1.0" encoding="utf-8"?>
<ds:datastoreItem xmlns:ds="http://schemas.openxmlformats.org/officeDocument/2006/customXml" ds:itemID="{40F1F5BE-B532-4769-B798-C79C9978901B}">
  <ds:schemaRefs>
    <ds:schemaRef ds:uri="http://schemas.microsoft.com/office/2006/metadata/customXsn"/>
  </ds:schemaRefs>
</ds:datastoreItem>
</file>

<file path=customXml/itemProps4.xml><?xml version="1.0" encoding="utf-8"?>
<ds:datastoreItem xmlns:ds="http://schemas.openxmlformats.org/officeDocument/2006/customXml" ds:itemID="{03177E1F-6143-469F-9B10-C35CA6586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24aa3-dd14-4958-87e9-1bc1f94fd501"/>
    <ds:schemaRef ds:uri="ae02c7b9-42e9-498f-908a-7781b9d40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091B11-A125-4E05-B4FF-940267603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2976</Words>
  <Characters>16206</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OMG Information Paper</vt:lpstr>
    </vt:vector>
  </TitlesOfParts>
  <Company>Hewlett-Packard Company</Company>
  <LinksUpToDate>false</LinksUpToDate>
  <CharactersWithSpaces>19144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 Information Paper</dc:title>
  <dc:creator>cn</dc:creator>
  <cp:lastModifiedBy>n414303</cp:lastModifiedBy>
  <cp:revision>2</cp:revision>
  <cp:lastPrinted>2016-03-17T16:41:00Z</cp:lastPrinted>
  <dcterms:created xsi:type="dcterms:W3CDTF">2016-06-06T12:06:00Z</dcterms:created>
  <dcterms:modified xsi:type="dcterms:W3CDTF">2016-06-06T12:06:00Z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0x0101009CEC73B497CBF74DA8E29DAA0C971484</vt:lpwstr>
  </property>
  <property fmtid="{D5CDD505-2E9C-101B-9397-08002B2CF9AE}" pid="3" name="Outputs Monitoring Group Area">
    <vt:lpwstr>32;#OMG|07bd6a31-5122-4435-91b9-0d24f2a2a305</vt:lpwstr>
  </property>
  <property fmtid="{D5CDD505-2E9C-101B-9397-08002B2CF9AE}" pid="4" name="Financial Years">
    <vt:lpwstr/>
  </property>
</Properties>
</file>