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7B" w:rsidRPr="0002477B" w:rsidRDefault="0002477B" w:rsidP="00784BC1">
      <w:pPr>
        <w:spacing w:after="0" w:line="240" w:lineRule="auto"/>
        <w:rPr>
          <w:rFonts w:ascii="Arial" w:hAnsi="Arial" w:cs="Arial"/>
          <w:b/>
          <w:sz w:val="24"/>
          <w:szCs w:val="24"/>
        </w:rPr>
      </w:pPr>
      <w:r w:rsidRPr="0002477B">
        <w:rPr>
          <w:rFonts w:ascii="Arial" w:hAnsi="Arial" w:cs="Arial"/>
          <w:b/>
          <w:sz w:val="24"/>
          <w:szCs w:val="24"/>
        </w:rPr>
        <w:t>Common Housing Quality Standard Forum</w:t>
      </w:r>
    </w:p>
    <w:p w:rsidR="0002477B" w:rsidRPr="0002477B" w:rsidRDefault="0002477B" w:rsidP="00784BC1">
      <w:pPr>
        <w:spacing w:after="0" w:line="240" w:lineRule="auto"/>
        <w:rPr>
          <w:rFonts w:ascii="Arial" w:hAnsi="Arial" w:cs="Arial"/>
          <w:b/>
          <w:sz w:val="24"/>
          <w:szCs w:val="24"/>
        </w:rPr>
      </w:pPr>
      <w:r>
        <w:rPr>
          <w:rFonts w:ascii="Arial" w:hAnsi="Arial" w:cs="Arial"/>
          <w:b/>
          <w:sz w:val="24"/>
          <w:szCs w:val="24"/>
        </w:rPr>
        <w:t xml:space="preserve">Supplement to </w:t>
      </w:r>
      <w:r w:rsidRPr="0002477B">
        <w:rPr>
          <w:rFonts w:ascii="Arial" w:hAnsi="Arial" w:cs="Arial"/>
          <w:b/>
          <w:sz w:val="24"/>
          <w:szCs w:val="24"/>
        </w:rPr>
        <w:t>Topic Paper</w:t>
      </w:r>
      <w:r>
        <w:rPr>
          <w:rFonts w:ascii="Arial" w:hAnsi="Arial" w:cs="Arial"/>
          <w:b/>
          <w:sz w:val="24"/>
          <w:szCs w:val="24"/>
        </w:rPr>
        <w:t>s</w:t>
      </w:r>
      <w:r w:rsidRPr="0002477B">
        <w:rPr>
          <w:rFonts w:ascii="Arial" w:hAnsi="Arial" w:cs="Arial"/>
          <w:b/>
          <w:sz w:val="24"/>
          <w:szCs w:val="24"/>
        </w:rPr>
        <w:t xml:space="preserve"> </w:t>
      </w:r>
    </w:p>
    <w:p w:rsidR="0002477B" w:rsidRPr="0002477B" w:rsidRDefault="0002477B" w:rsidP="00784BC1">
      <w:pPr>
        <w:spacing w:after="0" w:line="240" w:lineRule="auto"/>
        <w:rPr>
          <w:rFonts w:ascii="Arial" w:hAnsi="Arial" w:cs="Arial"/>
          <w:b/>
          <w:sz w:val="24"/>
          <w:szCs w:val="24"/>
        </w:rPr>
      </w:pPr>
    </w:p>
    <w:p w:rsidR="0002477B" w:rsidRDefault="0002477B" w:rsidP="00784BC1">
      <w:pPr>
        <w:spacing w:after="0" w:line="240" w:lineRule="auto"/>
        <w:rPr>
          <w:rFonts w:ascii="Arial" w:hAnsi="Arial" w:cs="Arial"/>
          <w:b/>
          <w:sz w:val="24"/>
          <w:szCs w:val="24"/>
        </w:rPr>
      </w:pPr>
      <w:r w:rsidRPr="0002477B">
        <w:rPr>
          <w:rFonts w:ascii="Arial" w:hAnsi="Arial" w:cs="Arial"/>
          <w:b/>
          <w:sz w:val="24"/>
          <w:szCs w:val="24"/>
        </w:rPr>
        <w:t>Purpose</w:t>
      </w:r>
    </w:p>
    <w:p w:rsidR="002A2B53" w:rsidRPr="0002477B" w:rsidRDefault="002A2B53" w:rsidP="00784BC1">
      <w:pPr>
        <w:spacing w:after="0" w:line="240" w:lineRule="auto"/>
        <w:rPr>
          <w:rFonts w:ascii="Arial" w:hAnsi="Arial" w:cs="Arial"/>
          <w:b/>
          <w:sz w:val="24"/>
          <w:szCs w:val="24"/>
        </w:rPr>
      </w:pPr>
    </w:p>
    <w:p w:rsidR="0002477B" w:rsidRPr="0002477B" w:rsidRDefault="0002477B" w:rsidP="00784BC1">
      <w:pPr>
        <w:spacing w:after="0" w:line="240" w:lineRule="auto"/>
        <w:jc w:val="both"/>
        <w:rPr>
          <w:rFonts w:ascii="Arial" w:hAnsi="Arial" w:cs="Arial"/>
          <w:sz w:val="24"/>
          <w:szCs w:val="24"/>
        </w:rPr>
      </w:pPr>
    </w:p>
    <w:p w:rsidR="0002477B" w:rsidRDefault="00B00F9D" w:rsidP="00B00F9D">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2477B" w:rsidRPr="0002477B">
        <w:rPr>
          <w:rFonts w:ascii="Arial" w:hAnsi="Arial" w:cs="Arial"/>
          <w:sz w:val="24"/>
          <w:szCs w:val="24"/>
        </w:rPr>
        <w:t xml:space="preserve">This paper </w:t>
      </w:r>
      <w:r w:rsidR="0002477B">
        <w:rPr>
          <w:rFonts w:ascii="Arial" w:hAnsi="Arial" w:cs="Arial"/>
          <w:sz w:val="24"/>
          <w:szCs w:val="24"/>
        </w:rPr>
        <w:t>collects some points arising from the seven topic papers considered by the Common Housing Quality Standard Forum</w:t>
      </w:r>
      <w:r w:rsidR="0002477B" w:rsidRPr="0002477B">
        <w:rPr>
          <w:rFonts w:ascii="Arial" w:hAnsi="Arial" w:cs="Arial"/>
          <w:sz w:val="24"/>
          <w:szCs w:val="24"/>
        </w:rPr>
        <w:t>.</w:t>
      </w:r>
      <w:r w:rsidR="00302AAA">
        <w:rPr>
          <w:rStyle w:val="FootnoteReference"/>
          <w:rFonts w:ascii="Arial" w:hAnsi="Arial" w:cs="Arial"/>
          <w:sz w:val="24"/>
          <w:szCs w:val="24"/>
        </w:rPr>
        <w:footnoteReference w:id="1"/>
      </w:r>
    </w:p>
    <w:p w:rsidR="0002477B" w:rsidRDefault="0002477B" w:rsidP="00B00F9D">
      <w:pPr>
        <w:spacing w:after="0" w:line="240" w:lineRule="auto"/>
        <w:jc w:val="both"/>
        <w:rPr>
          <w:rFonts w:ascii="Arial" w:hAnsi="Arial" w:cs="Arial"/>
          <w:sz w:val="24"/>
          <w:szCs w:val="24"/>
        </w:rPr>
      </w:pPr>
    </w:p>
    <w:p w:rsidR="00302AAA" w:rsidRDefault="00302AAA" w:rsidP="00B00F9D">
      <w:pPr>
        <w:spacing w:after="0" w:line="240" w:lineRule="auto"/>
        <w:jc w:val="both"/>
        <w:rPr>
          <w:rFonts w:ascii="Arial" w:hAnsi="Arial" w:cs="Arial"/>
          <w:b/>
          <w:sz w:val="24"/>
          <w:szCs w:val="24"/>
        </w:rPr>
      </w:pPr>
      <w:r>
        <w:rPr>
          <w:rFonts w:ascii="Arial" w:hAnsi="Arial" w:cs="Arial"/>
          <w:b/>
          <w:sz w:val="24"/>
          <w:szCs w:val="24"/>
        </w:rPr>
        <w:t>Housing and Human Rights</w:t>
      </w:r>
    </w:p>
    <w:p w:rsidR="00302AAA" w:rsidRDefault="00302AAA" w:rsidP="00B00F9D">
      <w:pPr>
        <w:spacing w:after="0" w:line="240" w:lineRule="auto"/>
        <w:jc w:val="both"/>
        <w:rPr>
          <w:rFonts w:ascii="Arial" w:hAnsi="Arial" w:cs="Arial"/>
          <w:b/>
          <w:sz w:val="24"/>
          <w:szCs w:val="24"/>
        </w:rPr>
      </w:pPr>
    </w:p>
    <w:p w:rsidR="00302AAA" w:rsidRPr="00B00F9D" w:rsidRDefault="00B00F9D" w:rsidP="00B00F9D">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02AAA" w:rsidRPr="00B00F9D">
        <w:rPr>
          <w:rFonts w:ascii="Arial" w:hAnsi="Arial" w:cs="Arial"/>
          <w:sz w:val="24"/>
          <w:szCs w:val="24"/>
        </w:rPr>
        <w:t>There is a recommended standard for adequate housing under EU human rights legislation.</w:t>
      </w:r>
      <w:r w:rsidR="00302AAA" w:rsidRPr="00302AAA">
        <w:rPr>
          <w:vertAlign w:val="superscript"/>
        </w:rPr>
        <w:footnoteReference w:id="2"/>
      </w:r>
      <w:r w:rsidR="00302AAA" w:rsidRPr="00B00F9D">
        <w:rPr>
          <w:rFonts w:ascii="Arial" w:hAnsi="Arial" w:cs="Arial"/>
          <w:sz w:val="24"/>
          <w:szCs w:val="24"/>
        </w:rPr>
        <w:t xml:space="preserve"> The Scottish Human Rights Commission suggests that the tolerable standard should be reviewed to ensure that it meets the habitability standard above.</w:t>
      </w:r>
      <w:r w:rsidR="00302AAA" w:rsidRPr="00302AAA">
        <w:rPr>
          <w:vertAlign w:val="superscript"/>
        </w:rPr>
        <w:footnoteReference w:id="3"/>
      </w:r>
      <w:r w:rsidR="00302AAA" w:rsidRPr="00B00F9D">
        <w:rPr>
          <w:rFonts w:ascii="Arial" w:hAnsi="Arial" w:cs="Arial"/>
          <w:sz w:val="24"/>
          <w:szCs w:val="24"/>
        </w:rPr>
        <w:t xml:space="preserve">  The habitability standard says that adequate housing must provid</w:t>
      </w:r>
      <w:r w:rsidR="00784BC1" w:rsidRPr="00B00F9D">
        <w:rPr>
          <w:rFonts w:ascii="Arial" w:hAnsi="Arial" w:cs="Arial"/>
          <w:sz w:val="24"/>
          <w:szCs w:val="24"/>
        </w:rPr>
        <w:t>e</w:t>
      </w:r>
      <w:r w:rsidR="00302AAA" w:rsidRPr="00B00F9D">
        <w:rPr>
          <w:rFonts w:ascii="Arial" w:hAnsi="Arial" w:cs="Arial"/>
          <w:sz w:val="24"/>
          <w:szCs w:val="24"/>
        </w:rPr>
        <w:t xml:space="preserve"> </w:t>
      </w:r>
      <w:r w:rsidR="00784BC1" w:rsidRPr="00B00F9D">
        <w:rPr>
          <w:rFonts w:ascii="Arial" w:hAnsi="Arial" w:cs="Arial"/>
          <w:sz w:val="24"/>
          <w:szCs w:val="24"/>
        </w:rPr>
        <w:t>occupants</w:t>
      </w:r>
      <w:r w:rsidR="00302AAA" w:rsidRPr="00B00F9D">
        <w:rPr>
          <w:rFonts w:ascii="Arial" w:hAnsi="Arial" w:cs="Arial"/>
          <w:sz w:val="24"/>
          <w:szCs w:val="24"/>
        </w:rPr>
        <w:t xml:space="preserve"> with adequate space and protect them from cold, damp, heat, rain, wind or other threats to health, structural hazards, and disease vectors, and that the</w:t>
      </w:r>
      <w:r w:rsidR="00784BC1" w:rsidRPr="00B00F9D">
        <w:rPr>
          <w:rFonts w:ascii="Arial" w:hAnsi="Arial" w:cs="Arial"/>
          <w:sz w:val="24"/>
          <w:szCs w:val="24"/>
        </w:rPr>
        <w:t>ir</w:t>
      </w:r>
      <w:r w:rsidR="00302AAA" w:rsidRPr="00B00F9D">
        <w:rPr>
          <w:rFonts w:ascii="Arial" w:hAnsi="Arial" w:cs="Arial"/>
          <w:sz w:val="24"/>
          <w:szCs w:val="24"/>
        </w:rPr>
        <w:t xml:space="preserve"> physical safety must be guaranteed as well. Other standards included in the right to adequate housing are:</w:t>
      </w:r>
    </w:p>
    <w:p w:rsidR="00302AAA" w:rsidRDefault="00302AAA" w:rsidP="00B00F9D">
      <w:pPr>
        <w:pStyle w:val="ListParagraph"/>
        <w:spacing w:after="0" w:line="240" w:lineRule="auto"/>
        <w:ind w:left="0"/>
        <w:jc w:val="both"/>
        <w:rPr>
          <w:rFonts w:ascii="Arial" w:hAnsi="Arial" w:cs="Arial"/>
          <w:sz w:val="24"/>
          <w:szCs w:val="24"/>
        </w:rPr>
      </w:pP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 xml:space="preserve">security of tenure, </w:t>
      </w: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 xml:space="preserve">availability of services, materials, facilities and infrastructure, </w:t>
      </w: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affordability,</w:t>
      </w: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accessibility,</w:t>
      </w: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location, and</w:t>
      </w:r>
    </w:p>
    <w:p w:rsidR="00302AAA" w:rsidRPr="00B00F9D" w:rsidRDefault="00302AAA" w:rsidP="00B00F9D">
      <w:pPr>
        <w:spacing w:after="0" w:line="240" w:lineRule="auto"/>
        <w:ind w:left="360"/>
        <w:jc w:val="both"/>
        <w:rPr>
          <w:rFonts w:ascii="Arial" w:hAnsi="Arial" w:cs="Arial"/>
          <w:sz w:val="24"/>
          <w:szCs w:val="24"/>
        </w:rPr>
      </w:pPr>
      <w:r w:rsidRPr="00B00F9D">
        <w:rPr>
          <w:rFonts w:ascii="Arial" w:hAnsi="Arial" w:cs="Arial"/>
          <w:sz w:val="24"/>
          <w:szCs w:val="24"/>
        </w:rPr>
        <w:t>cultural adequacy.</w:t>
      </w:r>
    </w:p>
    <w:p w:rsidR="00302AAA" w:rsidRDefault="00302AAA" w:rsidP="00B00F9D">
      <w:pPr>
        <w:spacing w:after="0" w:line="240" w:lineRule="auto"/>
        <w:jc w:val="both"/>
        <w:rPr>
          <w:rFonts w:ascii="Arial" w:hAnsi="Arial" w:cs="Arial"/>
          <w:b/>
          <w:sz w:val="24"/>
          <w:szCs w:val="24"/>
        </w:rPr>
      </w:pPr>
    </w:p>
    <w:p w:rsidR="0002477B" w:rsidRPr="0002477B" w:rsidRDefault="0002477B" w:rsidP="00B00F9D">
      <w:pPr>
        <w:spacing w:after="0" w:line="240" w:lineRule="auto"/>
        <w:jc w:val="both"/>
        <w:rPr>
          <w:rFonts w:ascii="Arial" w:hAnsi="Arial" w:cs="Arial"/>
          <w:sz w:val="24"/>
          <w:szCs w:val="24"/>
        </w:rPr>
      </w:pPr>
      <w:r w:rsidRPr="0002477B">
        <w:rPr>
          <w:rFonts w:ascii="Arial" w:hAnsi="Arial" w:cs="Arial"/>
          <w:b/>
          <w:sz w:val="24"/>
          <w:szCs w:val="24"/>
        </w:rPr>
        <w:t>Disrepair and the tolerable standard</w:t>
      </w:r>
      <w:r>
        <w:rPr>
          <w:rFonts w:ascii="Arial" w:hAnsi="Arial" w:cs="Arial"/>
          <w:b/>
          <w:sz w:val="24"/>
          <w:szCs w:val="24"/>
        </w:rPr>
        <w:t xml:space="preserve"> </w:t>
      </w:r>
      <w:r>
        <w:rPr>
          <w:rFonts w:ascii="Arial" w:hAnsi="Arial" w:cs="Arial"/>
          <w:sz w:val="24"/>
          <w:szCs w:val="24"/>
        </w:rPr>
        <w:t>(see paper 1, para 35)</w:t>
      </w:r>
    </w:p>
    <w:p w:rsidR="0002477B" w:rsidRDefault="0002477B" w:rsidP="00B00F9D">
      <w:pPr>
        <w:spacing w:after="0" w:line="240" w:lineRule="auto"/>
        <w:jc w:val="both"/>
        <w:rPr>
          <w:rFonts w:ascii="Arial" w:hAnsi="Arial" w:cs="Arial"/>
          <w:sz w:val="24"/>
          <w:szCs w:val="24"/>
        </w:rPr>
      </w:pPr>
    </w:p>
    <w:p w:rsidR="0002477B" w:rsidRPr="00B00F9D" w:rsidRDefault="00B00F9D" w:rsidP="00B00F9D">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2477B" w:rsidRPr="00B00F9D">
        <w:rPr>
          <w:rFonts w:ascii="Arial" w:hAnsi="Arial" w:cs="Arial"/>
          <w:sz w:val="24"/>
          <w:szCs w:val="24"/>
        </w:rPr>
        <w:t>In paper 1 we considered essential fabric elements of a common standard. One issue we looked at was serious disrepair. Serious disrepair is not an element of the tolerable standard. We have noted that there is a similar standard in Northern Ireland that does include serious disrepair</w:t>
      </w:r>
      <w:r w:rsidR="00AC67BF" w:rsidRPr="00B00F9D">
        <w:rPr>
          <w:rFonts w:ascii="Arial" w:hAnsi="Arial" w:cs="Arial"/>
          <w:sz w:val="24"/>
          <w:szCs w:val="24"/>
        </w:rPr>
        <w:t>, and this could be a model for an amendment to the Scottish standard</w:t>
      </w:r>
      <w:r w:rsidR="0002477B" w:rsidRPr="00B00F9D">
        <w:rPr>
          <w:rFonts w:ascii="Arial" w:hAnsi="Arial" w:cs="Arial"/>
          <w:sz w:val="24"/>
          <w:szCs w:val="24"/>
        </w:rPr>
        <w:t>.</w:t>
      </w:r>
      <w:r w:rsidR="0002477B">
        <w:rPr>
          <w:rStyle w:val="FootnoteReference"/>
          <w:rFonts w:ascii="Arial" w:hAnsi="Arial" w:cs="Arial"/>
          <w:sz w:val="24"/>
          <w:szCs w:val="24"/>
        </w:rPr>
        <w:footnoteReference w:id="4"/>
      </w:r>
      <w:r w:rsidR="0002477B" w:rsidRPr="00B00F9D">
        <w:rPr>
          <w:rFonts w:ascii="Arial" w:hAnsi="Arial" w:cs="Arial"/>
          <w:sz w:val="24"/>
          <w:szCs w:val="24"/>
        </w:rPr>
        <w:t xml:space="preserve">   </w:t>
      </w:r>
    </w:p>
    <w:p w:rsidR="0002477B" w:rsidRDefault="0002477B" w:rsidP="00B00F9D">
      <w:pPr>
        <w:pStyle w:val="ListParagraph"/>
        <w:spacing w:after="0" w:line="240" w:lineRule="auto"/>
        <w:ind w:left="0"/>
        <w:jc w:val="both"/>
        <w:rPr>
          <w:rFonts w:ascii="Arial" w:hAnsi="Arial" w:cs="Arial"/>
          <w:sz w:val="24"/>
          <w:szCs w:val="24"/>
        </w:rPr>
      </w:pPr>
    </w:p>
    <w:p w:rsidR="0002477B" w:rsidRPr="0002477B" w:rsidRDefault="0002477B" w:rsidP="00B00F9D">
      <w:pPr>
        <w:pStyle w:val="ListParagraph"/>
        <w:spacing w:after="0" w:line="240" w:lineRule="auto"/>
        <w:ind w:left="0"/>
        <w:jc w:val="both"/>
        <w:rPr>
          <w:rFonts w:ascii="Arial" w:hAnsi="Arial" w:cs="Arial"/>
          <w:sz w:val="24"/>
          <w:szCs w:val="24"/>
        </w:rPr>
      </w:pPr>
      <w:r w:rsidRPr="0002477B">
        <w:rPr>
          <w:rFonts w:ascii="Arial" w:hAnsi="Arial" w:cs="Arial"/>
          <w:b/>
          <w:sz w:val="24"/>
          <w:szCs w:val="24"/>
        </w:rPr>
        <w:t>Safety elements – child safety</w:t>
      </w:r>
      <w:r>
        <w:rPr>
          <w:rFonts w:ascii="Arial" w:hAnsi="Arial" w:cs="Arial"/>
          <w:b/>
          <w:sz w:val="24"/>
          <w:szCs w:val="24"/>
        </w:rPr>
        <w:t xml:space="preserve"> </w:t>
      </w:r>
      <w:r>
        <w:rPr>
          <w:rFonts w:ascii="Arial" w:hAnsi="Arial" w:cs="Arial"/>
          <w:sz w:val="24"/>
          <w:szCs w:val="24"/>
        </w:rPr>
        <w:t>(see paper 2)</w:t>
      </w:r>
    </w:p>
    <w:p w:rsidR="0002477B" w:rsidRPr="0002477B" w:rsidRDefault="0002477B" w:rsidP="00B00F9D">
      <w:pPr>
        <w:pStyle w:val="ListParagraph"/>
        <w:spacing w:after="0" w:line="240" w:lineRule="auto"/>
        <w:jc w:val="both"/>
        <w:rPr>
          <w:rFonts w:ascii="Arial" w:hAnsi="Arial" w:cs="Arial"/>
          <w:sz w:val="24"/>
          <w:szCs w:val="24"/>
        </w:rPr>
      </w:pPr>
    </w:p>
    <w:p w:rsidR="0002477B" w:rsidRPr="00B00F9D" w:rsidRDefault="00B00F9D" w:rsidP="00B00F9D">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2477B" w:rsidRPr="00B00F9D">
        <w:rPr>
          <w:rFonts w:ascii="Arial" w:hAnsi="Arial" w:cs="Arial"/>
          <w:sz w:val="24"/>
          <w:szCs w:val="24"/>
        </w:rPr>
        <w:t>One stakeholder recommended two additional elements relevant to child safety. The first was for cupboard safety latches which make it difficult for small children to open cupboards which may contain harmful</w:t>
      </w:r>
      <w:r w:rsidR="00302AAA" w:rsidRPr="00B00F9D">
        <w:rPr>
          <w:rFonts w:ascii="Arial" w:hAnsi="Arial" w:cs="Arial"/>
          <w:sz w:val="24"/>
          <w:szCs w:val="24"/>
        </w:rPr>
        <w:t xml:space="preserve"> substances. The other was for </w:t>
      </w:r>
      <w:r w:rsidR="0002477B" w:rsidRPr="00B00F9D">
        <w:rPr>
          <w:rFonts w:ascii="Arial" w:hAnsi="Arial" w:cs="Arial"/>
          <w:sz w:val="24"/>
          <w:szCs w:val="24"/>
        </w:rPr>
        <w:t xml:space="preserve">blind cord cleats to help address the increasing number of injuries and fatalities </w:t>
      </w:r>
      <w:r w:rsidR="0002477B" w:rsidRPr="00B00F9D">
        <w:rPr>
          <w:rFonts w:ascii="Arial" w:hAnsi="Arial" w:cs="Arial"/>
          <w:sz w:val="24"/>
          <w:szCs w:val="24"/>
        </w:rPr>
        <w:lastRenderedPageBreak/>
        <w:t>caused by children being tangled in blind cords. It was acknowledged that this may be difficult to monitor but has the potential to help protect children in the home. The respondent advised that new European standards introduces in 2014 require that new builds must be ‘safe by design’ or have child safety devices installed.</w:t>
      </w:r>
    </w:p>
    <w:p w:rsidR="00302AAA" w:rsidRDefault="00302AAA" w:rsidP="00B00F9D">
      <w:pPr>
        <w:pStyle w:val="ListParagraph"/>
        <w:spacing w:after="0" w:line="240" w:lineRule="auto"/>
        <w:ind w:left="0"/>
        <w:jc w:val="both"/>
        <w:rPr>
          <w:rFonts w:ascii="Arial" w:hAnsi="Arial" w:cs="Arial"/>
          <w:sz w:val="24"/>
          <w:szCs w:val="24"/>
        </w:rPr>
      </w:pPr>
    </w:p>
    <w:p w:rsidR="00302AAA" w:rsidRDefault="00302AAA" w:rsidP="00B00F9D">
      <w:pPr>
        <w:pStyle w:val="ListParagraph"/>
        <w:spacing w:after="0" w:line="240" w:lineRule="auto"/>
        <w:ind w:left="0"/>
        <w:jc w:val="both"/>
        <w:rPr>
          <w:rFonts w:ascii="Arial" w:hAnsi="Arial" w:cs="Arial"/>
          <w:sz w:val="24"/>
          <w:szCs w:val="24"/>
        </w:rPr>
      </w:pPr>
      <w:r w:rsidRPr="00302AAA">
        <w:rPr>
          <w:rFonts w:ascii="Arial" w:hAnsi="Arial" w:cs="Arial"/>
          <w:b/>
          <w:sz w:val="24"/>
          <w:szCs w:val="24"/>
        </w:rPr>
        <w:t>Changes to private rented tenancies</w:t>
      </w:r>
      <w:r>
        <w:rPr>
          <w:rFonts w:ascii="Arial" w:hAnsi="Arial" w:cs="Arial"/>
          <w:sz w:val="24"/>
          <w:szCs w:val="24"/>
        </w:rPr>
        <w:t xml:space="preserve"> (see paper 3, para 11)</w:t>
      </w:r>
    </w:p>
    <w:p w:rsidR="00302AAA" w:rsidRPr="00302AAA" w:rsidRDefault="00302AAA" w:rsidP="00B00F9D">
      <w:pPr>
        <w:pStyle w:val="ListParagraph"/>
        <w:spacing w:after="0" w:line="240" w:lineRule="auto"/>
        <w:jc w:val="both"/>
        <w:rPr>
          <w:rFonts w:ascii="Arial" w:hAnsi="Arial" w:cs="Arial"/>
          <w:sz w:val="24"/>
          <w:szCs w:val="24"/>
        </w:rPr>
      </w:pPr>
    </w:p>
    <w:p w:rsidR="00B00F9D" w:rsidRPr="00B00F9D" w:rsidRDefault="00B00F9D" w:rsidP="00B00F9D">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02AAA" w:rsidRPr="00B00F9D">
        <w:rPr>
          <w:rFonts w:ascii="Arial" w:hAnsi="Arial" w:cs="Arial"/>
          <w:sz w:val="24"/>
          <w:szCs w:val="24"/>
        </w:rPr>
        <w:t xml:space="preserve">In paper 3 we noted that the repairing standard applies principally to assured and short assured tenancies in private rented homes. This will be amended by the changeover to </w:t>
      </w:r>
      <w:r w:rsidR="00AC67BF" w:rsidRPr="00B00F9D">
        <w:rPr>
          <w:rFonts w:ascii="Arial" w:hAnsi="Arial" w:cs="Arial"/>
          <w:sz w:val="24"/>
          <w:szCs w:val="24"/>
        </w:rPr>
        <w:t xml:space="preserve">the new </w:t>
      </w:r>
      <w:r w:rsidR="00302AAA" w:rsidRPr="00B00F9D">
        <w:rPr>
          <w:rFonts w:ascii="Arial" w:hAnsi="Arial" w:cs="Arial"/>
          <w:sz w:val="24"/>
          <w:szCs w:val="24"/>
        </w:rPr>
        <w:t>private residential tenancies.</w:t>
      </w:r>
      <w:r w:rsidR="00302AAA">
        <w:rPr>
          <w:rStyle w:val="FootnoteReference"/>
          <w:rFonts w:ascii="Arial" w:hAnsi="Arial" w:cs="Arial"/>
          <w:sz w:val="24"/>
          <w:szCs w:val="24"/>
        </w:rPr>
        <w:footnoteReference w:id="5"/>
      </w:r>
    </w:p>
    <w:p w:rsidR="0002477B" w:rsidRPr="00302AAA" w:rsidRDefault="0002477B" w:rsidP="00B00F9D">
      <w:pPr>
        <w:spacing w:after="0" w:line="240" w:lineRule="auto"/>
        <w:jc w:val="both"/>
        <w:rPr>
          <w:rFonts w:ascii="Arial" w:hAnsi="Arial" w:cs="Arial"/>
          <w:sz w:val="24"/>
          <w:szCs w:val="24"/>
        </w:rPr>
      </w:pPr>
    </w:p>
    <w:p w:rsidR="00302AAA" w:rsidRDefault="00302AAA" w:rsidP="00B00F9D">
      <w:pPr>
        <w:spacing w:after="0" w:line="240" w:lineRule="auto"/>
        <w:jc w:val="both"/>
        <w:rPr>
          <w:rFonts w:ascii="Arial" w:hAnsi="Arial" w:cs="Arial"/>
          <w:sz w:val="24"/>
          <w:szCs w:val="24"/>
        </w:rPr>
      </w:pPr>
      <w:r>
        <w:rPr>
          <w:rFonts w:ascii="Arial" w:hAnsi="Arial" w:cs="Arial"/>
          <w:b/>
          <w:sz w:val="24"/>
          <w:szCs w:val="24"/>
        </w:rPr>
        <w:t xml:space="preserve">Agricultural tenancies </w:t>
      </w:r>
      <w:r>
        <w:rPr>
          <w:rFonts w:ascii="Arial" w:hAnsi="Arial" w:cs="Arial"/>
          <w:sz w:val="24"/>
          <w:szCs w:val="24"/>
        </w:rPr>
        <w:t>(see paper 3, paras 15-19)</w:t>
      </w:r>
    </w:p>
    <w:p w:rsidR="00B00F9D" w:rsidRDefault="00B00F9D" w:rsidP="00B00F9D">
      <w:pPr>
        <w:spacing w:after="0" w:line="240" w:lineRule="auto"/>
        <w:jc w:val="both"/>
        <w:rPr>
          <w:rFonts w:ascii="Arial" w:hAnsi="Arial" w:cs="Arial"/>
          <w:sz w:val="24"/>
          <w:szCs w:val="24"/>
        </w:rPr>
      </w:pPr>
    </w:p>
    <w:p w:rsidR="00302AAA" w:rsidRPr="00B00F9D" w:rsidRDefault="00B00F9D" w:rsidP="00B00F9D">
      <w:pPr>
        <w:spacing w:after="0" w:line="240" w:lineRule="auto"/>
        <w:jc w:val="both"/>
        <w:rPr>
          <w:rFonts w:ascii="Arial" w:hAnsi="Arial" w:cs="Arial"/>
          <w:b/>
          <w:color w:val="FF0000"/>
          <w:sz w:val="24"/>
          <w:szCs w:val="24"/>
        </w:rPr>
      </w:pPr>
      <w:r>
        <w:rPr>
          <w:rFonts w:ascii="Arial" w:hAnsi="Arial" w:cs="Arial"/>
          <w:sz w:val="24"/>
          <w:szCs w:val="24"/>
        </w:rPr>
        <w:t>6.</w:t>
      </w:r>
      <w:r>
        <w:rPr>
          <w:rFonts w:ascii="Arial" w:hAnsi="Arial" w:cs="Arial"/>
          <w:sz w:val="24"/>
          <w:szCs w:val="24"/>
        </w:rPr>
        <w:tab/>
      </w:r>
      <w:r w:rsidR="00984AEC" w:rsidRPr="00984AEC">
        <w:rPr>
          <w:rFonts w:ascii="Arial" w:hAnsi="Arial" w:cs="Arial"/>
          <w:sz w:val="24"/>
          <w:szCs w:val="24"/>
        </w:rPr>
        <w:t>During the last Parliament the Cabinet Secretary for Rural Affairs, Food and Environment agreed that action was needed to improve the condition of some agricultural tenancies, but that comprehensive research was first needed</w:t>
      </w:r>
      <w:r w:rsidR="006409CF">
        <w:rPr>
          <w:rFonts w:ascii="Arial" w:hAnsi="Arial" w:cs="Arial"/>
          <w:sz w:val="24"/>
          <w:szCs w:val="24"/>
        </w:rPr>
        <w:t xml:space="preserve"> </w:t>
      </w:r>
      <w:r w:rsidR="006409CF" w:rsidRPr="006409CF">
        <w:rPr>
          <w:rFonts w:ascii="Arial" w:hAnsi="Arial" w:cs="Arial"/>
          <w:sz w:val="24"/>
          <w:szCs w:val="24"/>
        </w:rPr>
        <w:t>to assess the range of issues, including costs, that must be addressed to bring houses up to standard</w:t>
      </w:r>
      <w:r w:rsidR="00984AEC" w:rsidRPr="00984AEC">
        <w:rPr>
          <w:rFonts w:ascii="Arial" w:hAnsi="Arial" w:cs="Arial"/>
          <w:sz w:val="24"/>
          <w:szCs w:val="24"/>
        </w:rPr>
        <w:t>.</w:t>
      </w:r>
      <w:r w:rsidR="00984AEC">
        <w:rPr>
          <w:rStyle w:val="FootnoteReference"/>
          <w:rFonts w:ascii="Arial" w:hAnsi="Arial" w:cs="Arial"/>
          <w:sz w:val="24"/>
          <w:szCs w:val="24"/>
        </w:rPr>
        <w:footnoteReference w:id="6"/>
      </w:r>
      <w:r w:rsidR="008F774C">
        <w:rPr>
          <w:rFonts w:ascii="Arial" w:hAnsi="Arial" w:cs="Arial"/>
          <w:b/>
          <w:sz w:val="24"/>
          <w:szCs w:val="24"/>
        </w:rPr>
        <w:t xml:space="preserve"> </w:t>
      </w:r>
      <w:r w:rsidR="008F774C" w:rsidRPr="008F774C">
        <w:rPr>
          <w:rFonts w:ascii="Arial" w:hAnsi="Arial" w:cs="Arial"/>
          <w:sz w:val="24"/>
          <w:szCs w:val="24"/>
        </w:rPr>
        <w:t>An options paper is being prepared for the new Cabinet Secretary’s consideration.</w:t>
      </w:r>
      <w:r w:rsidR="008F774C" w:rsidRPr="008F774C">
        <w:rPr>
          <w:rFonts w:ascii="Arial" w:hAnsi="Arial" w:cs="Arial"/>
          <w:b/>
          <w:sz w:val="24"/>
          <w:szCs w:val="24"/>
        </w:rPr>
        <w:t xml:space="preserve"> </w:t>
      </w:r>
    </w:p>
    <w:p w:rsidR="00784BC1" w:rsidRPr="00984AEC" w:rsidRDefault="00784BC1" w:rsidP="00B00F9D">
      <w:pPr>
        <w:pStyle w:val="ListParagraph"/>
        <w:spacing w:after="0" w:line="240" w:lineRule="auto"/>
        <w:ind w:left="0"/>
        <w:jc w:val="both"/>
        <w:rPr>
          <w:rFonts w:ascii="Arial" w:hAnsi="Arial" w:cs="Arial"/>
          <w:sz w:val="24"/>
          <w:szCs w:val="24"/>
        </w:rPr>
      </w:pPr>
    </w:p>
    <w:p w:rsidR="00E00C06" w:rsidRDefault="00302AAA" w:rsidP="00B00F9D">
      <w:pPr>
        <w:spacing w:after="0" w:line="240" w:lineRule="auto"/>
        <w:jc w:val="both"/>
        <w:rPr>
          <w:rFonts w:ascii="Arial" w:hAnsi="Arial" w:cs="Arial"/>
          <w:sz w:val="24"/>
          <w:szCs w:val="24"/>
        </w:rPr>
      </w:pPr>
      <w:r w:rsidRPr="00302AAA">
        <w:rPr>
          <w:rFonts w:ascii="Arial" w:hAnsi="Arial" w:cs="Arial"/>
          <w:b/>
          <w:sz w:val="24"/>
          <w:szCs w:val="24"/>
        </w:rPr>
        <w:t>Noise insulation</w:t>
      </w:r>
      <w:r w:rsidRPr="00302AAA">
        <w:rPr>
          <w:rFonts w:ascii="Arial" w:hAnsi="Arial" w:cs="Arial"/>
          <w:sz w:val="24"/>
          <w:szCs w:val="24"/>
        </w:rPr>
        <w:t xml:space="preserve"> (see paper 4)</w:t>
      </w:r>
    </w:p>
    <w:p w:rsidR="00784BC1" w:rsidRPr="00302AAA" w:rsidRDefault="00784BC1" w:rsidP="00B00F9D">
      <w:pPr>
        <w:spacing w:after="0" w:line="240" w:lineRule="auto"/>
        <w:jc w:val="both"/>
        <w:rPr>
          <w:rFonts w:ascii="Arial" w:hAnsi="Arial" w:cs="Arial"/>
          <w:sz w:val="24"/>
          <w:szCs w:val="24"/>
        </w:rPr>
      </w:pPr>
    </w:p>
    <w:p w:rsidR="00302AAA" w:rsidRPr="00B00F9D" w:rsidRDefault="00B00F9D" w:rsidP="00B00F9D">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22E5E" w:rsidRPr="00B00F9D">
        <w:rPr>
          <w:rFonts w:ascii="Arial" w:hAnsi="Arial" w:cs="Arial"/>
          <w:sz w:val="24"/>
          <w:szCs w:val="24"/>
        </w:rPr>
        <w:t>Noise insulation was n</w:t>
      </w:r>
      <w:r w:rsidR="00302AAA" w:rsidRPr="00B00F9D">
        <w:rPr>
          <w:rFonts w:ascii="Arial" w:hAnsi="Arial" w:cs="Arial"/>
          <w:sz w:val="24"/>
          <w:szCs w:val="24"/>
        </w:rPr>
        <w:t>ot considered in the possible elements of an amenity standard</w:t>
      </w:r>
      <w:r w:rsidR="00522E5E" w:rsidRPr="00B00F9D">
        <w:rPr>
          <w:rFonts w:ascii="Arial" w:hAnsi="Arial" w:cs="Arial"/>
          <w:sz w:val="24"/>
          <w:szCs w:val="24"/>
        </w:rPr>
        <w:t xml:space="preserve">. </w:t>
      </w:r>
      <w:r w:rsidR="00784BC1" w:rsidRPr="00B00F9D">
        <w:rPr>
          <w:rFonts w:ascii="Arial" w:hAnsi="Arial" w:cs="Arial"/>
          <w:sz w:val="24"/>
          <w:szCs w:val="24"/>
        </w:rPr>
        <w:t>However, it is an issue known to affect occupiers in</w:t>
      </w:r>
      <w:r w:rsidR="00522E5E" w:rsidRPr="00B00F9D">
        <w:rPr>
          <w:rFonts w:ascii="Arial" w:hAnsi="Arial" w:cs="Arial"/>
          <w:sz w:val="24"/>
          <w:szCs w:val="24"/>
        </w:rPr>
        <w:t xml:space="preserve"> tenements</w:t>
      </w:r>
      <w:r w:rsidR="00784BC1" w:rsidRPr="00B00F9D">
        <w:rPr>
          <w:rFonts w:ascii="Arial" w:hAnsi="Arial" w:cs="Arial"/>
          <w:sz w:val="24"/>
          <w:szCs w:val="24"/>
        </w:rPr>
        <w:t>. T</w:t>
      </w:r>
      <w:r w:rsidR="00522E5E" w:rsidRPr="00B00F9D">
        <w:rPr>
          <w:rFonts w:ascii="Arial" w:hAnsi="Arial" w:cs="Arial"/>
          <w:sz w:val="24"/>
          <w:szCs w:val="24"/>
        </w:rPr>
        <w:t>he amount of impact noise transmitted onto the dwelling below increases considerably when soft floor covering such as a carpet is removed to be replaced by a hard floor finish.</w:t>
      </w:r>
    </w:p>
    <w:p w:rsidR="00522E5E" w:rsidRDefault="00522E5E" w:rsidP="00B00F9D">
      <w:pPr>
        <w:pStyle w:val="ListParagraph"/>
        <w:spacing w:after="0" w:line="240" w:lineRule="auto"/>
        <w:ind w:left="0"/>
        <w:jc w:val="both"/>
        <w:rPr>
          <w:rFonts w:ascii="Arial" w:hAnsi="Arial" w:cs="Arial"/>
          <w:sz w:val="24"/>
          <w:szCs w:val="24"/>
          <w:highlight w:val="yellow"/>
        </w:rPr>
      </w:pPr>
    </w:p>
    <w:p w:rsidR="00522E5E" w:rsidRPr="00B00F9D" w:rsidRDefault="00B00F9D" w:rsidP="00B00F9D">
      <w:pPr>
        <w:spacing w:after="0" w:line="24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22E5E" w:rsidRPr="00B00F9D">
        <w:rPr>
          <w:rFonts w:ascii="Arial" w:hAnsi="Arial" w:cs="Arial"/>
          <w:sz w:val="24"/>
          <w:szCs w:val="24"/>
        </w:rPr>
        <w:t>There are insulation grants for excessive noise caused by new road traffic developments.</w:t>
      </w:r>
      <w:r w:rsidR="00522E5E">
        <w:rPr>
          <w:rStyle w:val="FootnoteReference"/>
          <w:rFonts w:ascii="Arial" w:hAnsi="Arial" w:cs="Arial"/>
          <w:sz w:val="24"/>
          <w:szCs w:val="24"/>
        </w:rPr>
        <w:footnoteReference w:id="7"/>
      </w:r>
      <w:r w:rsidR="00522E5E" w:rsidRPr="00B00F9D">
        <w:rPr>
          <w:rFonts w:ascii="Arial" w:hAnsi="Arial" w:cs="Arial"/>
          <w:sz w:val="24"/>
          <w:szCs w:val="24"/>
        </w:rPr>
        <w:t xml:space="preserve"> Element 43 of  the Scottish Housing Quality Standard requires social housing to have adequate noise insulation from certain external sources of noise such as trunk road traffic, airport runways, railway tracks or industrial premises.</w:t>
      </w:r>
      <w:r w:rsidR="00522E5E" w:rsidRPr="00522E5E">
        <w:rPr>
          <w:rStyle w:val="FootnoteReference"/>
          <w:rFonts w:ascii="Arial" w:hAnsi="Arial" w:cs="Arial"/>
          <w:sz w:val="24"/>
          <w:szCs w:val="24"/>
        </w:rPr>
        <w:footnoteReference w:id="8"/>
      </w:r>
      <w:r w:rsidR="00522E5E" w:rsidRPr="00B00F9D">
        <w:rPr>
          <w:rFonts w:ascii="Arial" w:hAnsi="Arial" w:cs="Arial"/>
          <w:sz w:val="24"/>
          <w:szCs w:val="24"/>
        </w:rPr>
        <w:t xml:space="preserve">  There is no requirement to provide noise insulation from internal sources of noise from other people, objects or activities in neighbouring properties. </w:t>
      </w:r>
    </w:p>
    <w:p w:rsidR="00522E5E" w:rsidRPr="00522E5E" w:rsidRDefault="00522E5E" w:rsidP="00B00F9D">
      <w:pPr>
        <w:pStyle w:val="ListParagraph"/>
        <w:spacing w:after="0" w:line="240" w:lineRule="auto"/>
        <w:ind w:left="0"/>
        <w:jc w:val="both"/>
        <w:rPr>
          <w:rFonts w:ascii="Arial" w:hAnsi="Arial" w:cs="Arial"/>
          <w:sz w:val="24"/>
          <w:szCs w:val="24"/>
          <w:highlight w:val="yellow"/>
        </w:rPr>
      </w:pPr>
    </w:p>
    <w:p w:rsidR="00522E5E" w:rsidRPr="00B00F9D" w:rsidRDefault="00B00F9D" w:rsidP="00B00F9D">
      <w:pPr>
        <w:spacing w:after="0"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22E5E" w:rsidRPr="00B00F9D">
        <w:rPr>
          <w:rFonts w:ascii="Arial" w:hAnsi="Arial" w:cs="Arial"/>
          <w:sz w:val="24"/>
          <w:szCs w:val="24"/>
        </w:rPr>
        <w:t>Local authorities have powers to secure the abatement of a statutory nuisance, and this includes noise which they determine to be either prejudicial to health or a nuisance.</w:t>
      </w:r>
      <w:r w:rsidR="00522E5E" w:rsidRPr="00522E5E">
        <w:rPr>
          <w:rStyle w:val="FootnoteReference"/>
          <w:rFonts w:ascii="Arial" w:hAnsi="Arial" w:cs="Arial"/>
          <w:sz w:val="24"/>
          <w:szCs w:val="24"/>
        </w:rPr>
        <w:footnoteReference w:id="9"/>
      </w:r>
      <w:r w:rsidR="00522E5E" w:rsidRPr="00B00F9D">
        <w:rPr>
          <w:rFonts w:ascii="Arial" w:hAnsi="Arial" w:cs="Arial"/>
          <w:sz w:val="24"/>
          <w:szCs w:val="24"/>
        </w:rPr>
        <w:t xml:space="preserve"> There are also statutory provisions on noise levels in antisocial behaviour legislation. These include prescribed levels of permitted noise </w:t>
      </w:r>
      <w:r w:rsidR="00522E5E" w:rsidRPr="00B00F9D">
        <w:rPr>
          <w:rFonts w:ascii="Arial" w:hAnsi="Arial" w:cs="Arial"/>
          <w:sz w:val="24"/>
          <w:szCs w:val="24"/>
        </w:rPr>
        <w:lastRenderedPageBreak/>
        <w:t>and take account of the complexities of measurement and underlying noise factors.</w:t>
      </w:r>
      <w:r w:rsidR="00522E5E">
        <w:rPr>
          <w:rStyle w:val="FootnoteReference"/>
          <w:rFonts w:ascii="Arial" w:hAnsi="Arial" w:cs="Arial"/>
          <w:sz w:val="24"/>
          <w:szCs w:val="24"/>
        </w:rPr>
        <w:footnoteReference w:id="10"/>
      </w:r>
      <w:r w:rsidR="00522E5E" w:rsidRPr="00B00F9D">
        <w:rPr>
          <w:rFonts w:ascii="Arial" w:hAnsi="Arial" w:cs="Arial"/>
          <w:sz w:val="24"/>
          <w:szCs w:val="24"/>
        </w:rPr>
        <w:t xml:space="preserve"> However, if people are going about their normal day to day activity and the resulting noise problem is due to poor sound insulation then an abatement notice is unlikely to be served.</w:t>
      </w:r>
      <w:r w:rsidR="00EE088B" w:rsidRPr="00EE088B">
        <w:t xml:space="preserve"> </w:t>
      </w:r>
      <w:r w:rsidR="00EE088B" w:rsidRPr="00EE088B">
        <w:rPr>
          <w:rFonts w:ascii="Arial" w:hAnsi="Arial" w:cs="Arial"/>
          <w:sz w:val="24"/>
          <w:szCs w:val="24"/>
        </w:rPr>
        <w:t xml:space="preserve">Edinburgh Council have a requirement for floor coverings in </w:t>
      </w:r>
      <w:proofErr w:type="spellStart"/>
      <w:r w:rsidR="00EE088B" w:rsidRPr="00EE088B">
        <w:rPr>
          <w:rFonts w:ascii="Arial" w:hAnsi="Arial" w:cs="Arial"/>
          <w:sz w:val="24"/>
          <w:szCs w:val="24"/>
        </w:rPr>
        <w:t>HMO</w:t>
      </w:r>
      <w:proofErr w:type="spellEnd"/>
      <w:r w:rsidR="00EE088B" w:rsidRPr="00EE088B">
        <w:rPr>
          <w:rFonts w:ascii="Arial" w:hAnsi="Arial" w:cs="Arial"/>
          <w:sz w:val="24"/>
          <w:szCs w:val="24"/>
        </w:rPr>
        <w:t xml:space="preserve"> properties. </w:t>
      </w:r>
      <w:bookmarkStart w:id="0" w:name="_GoBack"/>
      <w:bookmarkEnd w:id="0"/>
      <w:r w:rsidR="0066466B">
        <w:rPr>
          <w:rFonts w:ascii="Arial" w:hAnsi="Arial" w:cs="Arial"/>
          <w:sz w:val="24"/>
          <w:szCs w:val="24"/>
        </w:rPr>
        <w:fldChar w:fldCharType="begin"/>
      </w:r>
      <w:r w:rsidR="0066466B">
        <w:rPr>
          <w:rFonts w:ascii="Arial" w:hAnsi="Arial" w:cs="Arial"/>
          <w:sz w:val="24"/>
          <w:szCs w:val="24"/>
        </w:rPr>
        <w:instrText xml:space="preserve"> HYPERLINK "</w:instrText>
      </w:r>
      <w:r w:rsidR="0066466B" w:rsidRPr="00EE088B">
        <w:rPr>
          <w:rFonts w:ascii="Arial" w:hAnsi="Arial" w:cs="Arial"/>
          <w:sz w:val="24"/>
          <w:szCs w:val="24"/>
        </w:rPr>
        <w:instrText>http://www.edinburgh.gov.uk/info/20058/private_housing/372/houses_in_multiple_occupation_hmo</w:instrText>
      </w:r>
      <w:r w:rsidR="0066466B">
        <w:rPr>
          <w:rFonts w:ascii="Arial" w:hAnsi="Arial" w:cs="Arial"/>
          <w:sz w:val="24"/>
          <w:szCs w:val="24"/>
        </w:rPr>
        <w:instrText xml:space="preserve">" </w:instrText>
      </w:r>
      <w:r w:rsidR="0066466B">
        <w:rPr>
          <w:rFonts w:ascii="Arial" w:hAnsi="Arial" w:cs="Arial"/>
          <w:sz w:val="24"/>
          <w:szCs w:val="24"/>
        </w:rPr>
        <w:fldChar w:fldCharType="separate"/>
      </w:r>
      <w:r w:rsidR="0066466B" w:rsidRPr="00F45470">
        <w:rPr>
          <w:rStyle w:val="Hyperlink"/>
          <w:rFonts w:ascii="Arial" w:hAnsi="Arial" w:cs="Arial"/>
          <w:sz w:val="24"/>
          <w:szCs w:val="24"/>
        </w:rPr>
        <w:t>http://www.edinburgh.gov.uk/info/20058/private_housing/372/houses_in_multiple_occupation_hmo</w:t>
      </w:r>
      <w:r w:rsidR="0066466B">
        <w:rPr>
          <w:rFonts w:ascii="Arial" w:hAnsi="Arial" w:cs="Arial"/>
          <w:sz w:val="24"/>
          <w:szCs w:val="24"/>
        </w:rPr>
        <w:fldChar w:fldCharType="end"/>
      </w:r>
      <w:r w:rsidR="0066466B">
        <w:rPr>
          <w:rFonts w:ascii="Arial" w:hAnsi="Arial" w:cs="Arial"/>
          <w:sz w:val="24"/>
          <w:szCs w:val="24"/>
        </w:rPr>
        <w:t xml:space="preserve"> </w:t>
      </w:r>
    </w:p>
    <w:p w:rsidR="00522E5E" w:rsidRPr="00522E5E" w:rsidRDefault="00522E5E" w:rsidP="00B00F9D">
      <w:pPr>
        <w:pStyle w:val="ListParagraph"/>
        <w:spacing w:after="0" w:line="240" w:lineRule="auto"/>
        <w:rPr>
          <w:rFonts w:ascii="Arial" w:hAnsi="Arial" w:cs="Arial"/>
          <w:sz w:val="24"/>
          <w:szCs w:val="24"/>
        </w:rPr>
      </w:pPr>
    </w:p>
    <w:p w:rsidR="00522E5E" w:rsidRPr="00B00F9D" w:rsidRDefault="00B00F9D" w:rsidP="00B00F9D">
      <w:pPr>
        <w:spacing w:after="0"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22E5E" w:rsidRPr="00B00F9D">
        <w:rPr>
          <w:rFonts w:ascii="Arial" w:hAnsi="Arial" w:cs="Arial"/>
          <w:sz w:val="24"/>
          <w:szCs w:val="24"/>
        </w:rPr>
        <w:t xml:space="preserve">Some social landlords specify in tenancy agreements that tenants are not allowed to fit laminate flooring without permission. These generally follow wording recommended in the </w:t>
      </w:r>
      <w:proofErr w:type="spellStart"/>
      <w:r w:rsidR="00522E5E" w:rsidRPr="00B00F9D">
        <w:rPr>
          <w:rFonts w:ascii="Arial" w:hAnsi="Arial" w:cs="Arial"/>
          <w:sz w:val="24"/>
          <w:szCs w:val="24"/>
        </w:rPr>
        <w:t>DEFRA</w:t>
      </w:r>
      <w:proofErr w:type="spellEnd"/>
      <w:r w:rsidR="00522E5E" w:rsidRPr="00B00F9D">
        <w:rPr>
          <w:rFonts w:ascii="Arial" w:hAnsi="Arial" w:cs="Arial"/>
          <w:sz w:val="24"/>
          <w:szCs w:val="24"/>
        </w:rPr>
        <w:t xml:space="preserve"> draft </w:t>
      </w:r>
      <w:r w:rsidR="00522E5E" w:rsidRPr="00B00F9D">
        <w:rPr>
          <w:rFonts w:ascii="Arial" w:hAnsi="Arial" w:cs="Arial"/>
          <w:i/>
          <w:sz w:val="24"/>
          <w:szCs w:val="24"/>
        </w:rPr>
        <w:t>Guide for the Control of Noise from Laminate and Wooden Flooring Surfaces</w:t>
      </w:r>
      <w:r w:rsidR="00522E5E">
        <w:rPr>
          <w:rStyle w:val="FootnoteReference"/>
          <w:rFonts w:ascii="Arial" w:hAnsi="Arial" w:cs="Arial"/>
          <w:sz w:val="24"/>
          <w:szCs w:val="24"/>
        </w:rPr>
        <w:footnoteReference w:id="11"/>
      </w:r>
      <w:r w:rsidR="00522E5E" w:rsidRPr="00B00F9D">
        <w:rPr>
          <w:rFonts w:ascii="Arial" w:hAnsi="Arial" w:cs="Arial"/>
          <w:sz w:val="24"/>
          <w:szCs w:val="24"/>
        </w:rPr>
        <w:t xml:space="preserve"> Scottish Government guidance on </w:t>
      </w:r>
      <w:r w:rsidR="00522E5E" w:rsidRPr="00B00F9D">
        <w:rPr>
          <w:rFonts w:ascii="Arial" w:hAnsi="Arial" w:cs="Arial"/>
          <w:i/>
          <w:sz w:val="24"/>
          <w:szCs w:val="24"/>
        </w:rPr>
        <w:t>Neighbour Noise between Flats</w:t>
      </w:r>
      <w:r w:rsidR="00522E5E" w:rsidRPr="00B00F9D">
        <w:rPr>
          <w:rFonts w:ascii="Arial" w:hAnsi="Arial" w:cs="Arial"/>
          <w:sz w:val="24"/>
          <w:szCs w:val="24"/>
        </w:rPr>
        <w:t xml:space="preserve"> recognises the problem and suggests good practice, but concludes that there are limited options to address the problem.</w:t>
      </w:r>
      <w:r w:rsidR="00522E5E">
        <w:rPr>
          <w:rStyle w:val="FootnoteReference"/>
          <w:rFonts w:ascii="Arial" w:hAnsi="Arial" w:cs="Arial"/>
          <w:sz w:val="24"/>
          <w:szCs w:val="24"/>
        </w:rPr>
        <w:footnoteReference w:id="12"/>
      </w:r>
    </w:p>
    <w:p w:rsidR="00522E5E" w:rsidRPr="006409CF" w:rsidRDefault="00522E5E" w:rsidP="00B00F9D">
      <w:pPr>
        <w:pStyle w:val="ListParagraph"/>
        <w:spacing w:after="0" w:line="240" w:lineRule="auto"/>
        <w:rPr>
          <w:rFonts w:ascii="Arial" w:hAnsi="Arial" w:cs="Arial"/>
          <w:sz w:val="24"/>
          <w:szCs w:val="24"/>
        </w:rPr>
      </w:pPr>
    </w:p>
    <w:p w:rsidR="006409CF" w:rsidRPr="00B00F9D" w:rsidRDefault="00B00F9D" w:rsidP="00B00F9D">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6409CF" w:rsidRPr="00B00F9D">
        <w:rPr>
          <w:rFonts w:ascii="Arial" w:hAnsi="Arial" w:cs="Arial"/>
          <w:sz w:val="24"/>
          <w:szCs w:val="24"/>
        </w:rPr>
        <w:t xml:space="preserve">We think that a noise insulation element should be considered as part of a common parts and interest standard for occupiers in tenements. This might help to prevent changes to flooring which adversely affect other occupiers and might make it easier for local authorities to require work to be carried out where problems arise. </w:t>
      </w:r>
    </w:p>
    <w:p w:rsidR="00522E5E" w:rsidRPr="00522E5E" w:rsidRDefault="00522E5E" w:rsidP="00B00F9D">
      <w:pPr>
        <w:pStyle w:val="ListParagraph"/>
        <w:spacing w:after="0" w:line="240" w:lineRule="auto"/>
        <w:ind w:left="0"/>
        <w:rPr>
          <w:rFonts w:ascii="Arial" w:hAnsi="Arial" w:cs="Arial"/>
          <w:sz w:val="24"/>
          <w:szCs w:val="24"/>
        </w:rPr>
      </w:pPr>
    </w:p>
    <w:p w:rsidR="00302AAA" w:rsidRDefault="00302AAA" w:rsidP="00B00F9D">
      <w:pPr>
        <w:keepNext/>
        <w:spacing w:after="0" w:line="240" w:lineRule="auto"/>
        <w:jc w:val="both"/>
        <w:rPr>
          <w:rFonts w:ascii="Arial" w:hAnsi="Arial" w:cs="Arial"/>
          <w:sz w:val="24"/>
          <w:szCs w:val="24"/>
        </w:rPr>
      </w:pPr>
      <w:r w:rsidRPr="00302AAA">
        <w:rPr>
          <w:rFonts w:ascii="Arial" w:hAnsi="Arial" w:cs="Arial"/>
          <w:b/>
          <w:sz w:val="24"/>
          <w:szCs w:val="24"/>
        </w:rPr>
        <w:t xml:space="preserve">Looking after your home – gas </w:t>
      </w:r>
      <w:r>
        <w:rPr>
          <w:rFonts w:ascii="Arial" w:hAnsi="Arial" w:cs="Arial"/>
          <w:b/>
          <w:sz w:val="24"/>
          <w:szCs w:val="24"/>
        </w:rPr>
        <w:t xml:space="preserve">and electrical </w:t>
      </w:r>
      <w:r w:rsidRPr="00302AAA">
        <w:rPr>
          <w:rFonts w:ascii="Arial" w:hAnsi="Arial" w:cs="Arial"/>
          <w:b/>
          <w:sz w:val="24"/>
          <w:szCs w:val="24"/>
        </w:rPr>
        <w:t>safety checks</w:t>
      </w:r>
      <w:r>
        <w:rPr>
          <w:rFonts w:ascii="Arial" w:hAnsi="Arial" w:cs="Arial"/>
          <w:sz w:val="24"/>
          <w:szCs w:val="24"/>
        </w:rPr>
        <w:t xml:space="preserve"> (see paper 5, annex)</w:t>
      </w:r>
    </w:p>
    <w:p w:rsidR="00784BC1" w:rsidRDefault="00784BC1" w:rsidP="00B00F9D">
      <w:pPr>
        <w:keepNext/>
        <w:spacing w:after="0" w:line="240" w:lineRule="auto"/>
        <w:jc w:val="both"/>
        <w:rPr>
          <w:rFonts w:ascii="Arial" w:hAnsi="Arial" w:cs="Arial"/>
          <w:sz w:val="24"/>
          <w:szCs w:val="24"/>
        </w:rPr>
      </w:pPr>
    </w:p>
    <w:p w:rsidR="00302AAA" w:rsidRPr="00B00F9D" w:rsidRDefault="00B00F9D" w:rsidP="00B00F9D">
      <w:pPr>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C67BF" w:rsidRPr="00B00F9D">
        <w:rPr>
          <w:rFonts w:ascii="Arial" w:hAnsi="Arial" w:cs="Arial"/>
          <w:sz w:val="24"/>
          <w:szCs w:val="24"/>
        </w:rPr>
        <w:t>In the draft guidance for owners on looking after homes, it may be helpful to add some specific advice on periodic gas and electrical safety checks. This could tie in to proposals to ensure that the same standards are specified in social and private rented homes. The suggested additional text is underlined below:</w:t>
      </w:r>
    </w:p>
    <w:p w:rsidR="00784BC1" w:rsidRPr="00AC67BF" w:rsidRDefault="00784BC1" w:rsidP="00B00F9D">
      <w:pPr>
        <w:pStyle w:val="ListParagraph"/>
        <w:spacing w:after="0" w:line="240" w:lineRule="auto"/>
        <w:ind w:left="0"/>
        <w:jc w:val="both"/>
        <w:rPr>
          <w:rFonts w:ascii="Arial" w:hAnsi="Arial" w:cs="Arial"/>
          <w:sz w:val="24"/>
          <w:szCs w:val="24"/>
        </w:rPr>
      </w:pPr>
    </w:p>
    <w:p w:rsidR="00302AAA" w:rsidRDefault="00302AAA" w:rsidP="00B00F9D">
      <w:pPr>
        <w:spacing w:after="0" w:line="240" w:lineRule="auto"/>
        <w:ind w:left="720"/>
        <w:jc w:val="both"/>
        <w:rPr>
          <w:rFonts w:ascii="Arial" w:hAnsi="Arial" w:cs="Arial"/>
          <w:sz w:val="24"/>
          <w:szCs w:val="24"/>
        </w:rPr>
      </w:pPr>
      <w:r w:rsidRPr="00302AAA">
        <w:rPr>
          <w:rFonts w:ascii="Arial" w:hAnsi="Arial" w:cs="Arial"/>
          <w:sz w:val="24"/>
          <w:szCs w:val="24"/>
        </w:rPr>
        <w:t>Make sure that electrical and gas supplies are safe to use by arranging a regular inspection</w:t>
      </w:r>
      <w:r>
        <w:rPr>
          <w:rFonts w:ascii="Arial" w:hAnsi="Arial" w:cs="Arial"/>
          <w:sz w:val="24"/>
          <w:szCs w:val="24"/>
        </w:rPr>
        <w:t>.</w:t>
      </w:r>
      <w:r w:rsidRPr="00302AAA">
        <w:rPr>
          <w:rFonts w:ascii="Arial" w:hAnsi="Arial" w:cs="Arial"/>
          <w:sz w:val="24"/>
          <w:szCs w:val="24"/>
        </w:rPr>
        <w:t xml:space="preserve"> </w:t>
      </w:r>
      <w:r w:rsidRPr="00302AAA">
        <w:rPr>
          <w:rFonts w:ascii="Arial" w:hAnsi="Arial" w:cs="Arial"/>
          <w:sz w:val="24"/>
          <w:szCs w:val="24"/>
          <w:u w:val="single"/>
        </w:rPr>
        <w:t>Gas installations should be checked annually and electrical installations every ten years (5 years for rented property). Installing residual current devices (</w:t>
      </w:r>
      <w:proofErr w:type="spellStart"/>
      <w:r w:rsidRPr="00302AAA">
        <w:rPr>
          <w:rFonts w:ascii="Arial" w:hAnsi="Arial" w:cs="Arial"/>
          <w:sz w:val="24"/>
          <w:szCs w:val="24"/>
          <w:u w:val="single"/>
        </w:rPr>
        <w:t>RCDs</w:t>
      </w:r>
      <w:proofErr w:type="spellEnd"/>
      <w:r w:rsidRPr="00302AAA">
        <w:rPr>
          <w:rFonts w:ascii="Arial" w:hAnsi="Arial" w:cs="Arial"/>
          <w:sz w:val="24"/>
          <w:szCs w:val="24"/>
          <w:u w:val="single"/>
        </w:rPr>
        <w:t>) offers a level of protection that ordinary fuses and circuit-breakers cannot provide.</w:t>
      </w:r>
    </w:p>
    <w:p w:rsidR="00302AAA" w:rsidRDefault="00302AAA" w:rsidP="00B00F9D">
      <w:pPr>
        <w:spacing w:after="0" w:line="240" w:lineRule="auto"/>
        <w:jc w:val="both"/>
        <w:rPr>
          <w:rFonts w:ascii="Arial" w:hAnsi="Arial" w:cs="Arial"/>
          <w:b/>
          <w:sz w:val="24"/>
          <w:szCs w:val="24"/>
        </w:rPr>
      </w:pPr>
    </w:p>
    <w:p w:rsidR="00302AAA" w:rsidRDefault="00302AAA" w:rsidP="00B00F9D">
      <w:pPr>
        <w:spacing w:after="0" w:line="240" w:lineRule="auto"/>
        <w:jc w:val="both"/>
        <w:rPr>
          <w:rFonts w:ascii="Arial" w:hAnsi="Arial" w:cs="Arial"/>
          <w:sz w:val="24"/>
          <w:szCs w:val="24"/>
        </w:rPr>
      </w:pPr>
      <w:r w:rsidRPr="00302AAA">
        <w:rPr>
          <w:rFonts w:ascii="Arial" w:hAnsi="Arial" w:cs="Arial"/>
          <w:b/>
          <w:sz w:val="24"/>
          <w:szCs w:val="24"/>
        </w:rPr>
        <w:t xml:space="preserve">Enforcement </w:t>
      </w:r>
      <w:r w:rsidR="00AC67BF">
        <w:rPr>
          <w:rFonts w:ascii="Arial" w:hAnsi="Arial" w:cs="Arial"/>
          <w:b/>
          <w:sz w:val="24"/>
          <w:szCs w:val="24"/>
        </w:rPr>
        <w:t xml:space="preserve">and improvement </w:t>
      </w:r>
      <w:r w:rsidRPr="00302AAA">
        <w:rPr>
          <w:rFonts w:ascii="Arial" w:hAnsi="Arial" w:cs="Arial"/>
          <w:b/>
          <w:sz w:val="24"/>
          <w:szCs w:val="24"/>
        </w:rPr>
        <w:t>by tenants</w:t>
      </w:r>
      <w:r>
        <w:rPr>
          <w:rFonts w:ascii="Arial" w:hAnsi="Arial" w:cs="Arial"/>
          <w:sz w:val="24"/>
          <w:szCs w:val="24"/>
        </w:rPr>
        <w:t xml:space="preserve"> (see paper 3, para 20 and paper 7, paras 16-17) </w:t>
      </w:r>
    </w:p>
    <w:p w:rsidR="00302AAA" w:rsidRDefault="00302AAA" w:rsidP="00B00F9D">
      <w:pPr>
        <w:spacing w:after="0" w:line="240" w:lineRule="auto"/>
        <w:jc w:val="both"/>
        <w:rPr>
          <w:rFonts w:ascii="Arial" w:hAnsi="Arial" w:cs="Arial"/>
          <w:sz w:val="24"/>
          <w:szCs w:val="24"/>
        </w:rPr>
      </w:pPr>
    </w:p>
    <w:p w:rsidR="00302AAA" w:rsidRDefault="00B00F9D" w:rsidP="00B00F9D">
      <w:pPr>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02AAA" w:rsidRPr="00B00F9D">
        <w:rPr>
          <w:rFonts w:ascii="Arial" w:hAnsi="Arial" w:cs="Arial"/>
          <w:sz w:val="24"/>
          <w:szCs w:val="24"/>
        </w:rPr>
        <w:t xml:space="preserve">In paper 7 we noted the role of the private rented housing panel in enforcing the repairing standard. </w:t>
      </w:r>
      <w:r w:rsidR="00784BC1" w:rsidRPr="00B00F9D">
        <w:rPr>
          <w:rFonts w:ascii="Arial" w:hAnsi="Arial" w:cs="Arial"/>
          <w:sz w:val="24"/>
          <w:szCs w:val="24"/>
        </w:rPr>
        <w:t>W</w:t>
      </w:r>
      <w:r w:rsidR="00302AAA" w:rsidRPr="00B00F9D">
        <w:rPr>
          <w:rFonts w:ascii="Arial" w:hAnsi="Arial" w:cs="Arial"/>
          <w:sz w:val="24"/>
          <w:szCs w:val="24"/>
        </w:rPr>
        <w:t xml:space="preserve">e have also looked </w:t>
      </w:r>
      <w:r w:rsidR="00A40F59" w:rsidRPr="00B00F9D">
        <w:rPr>
          <w:rFonts w:ascii="Arial" w:hAnsi="Arial" w:cs="Arial"/>
          <w:sz w:val="24"/>
          <w:szCs w:val="24"/>
        </w:rPr>
        <w:t xml:space="preserve">at </w:t>
      </w:r>
      <w:r w:rsidR="00302AAA" w:rsidRPr="00B00F9D">
        <w:rPr>
          <w:rFonts w:ascii="Arial" w:hAnsi="Arial" w:cs="Arial"/>
          <w:sz w:val="24"/>
          <w:szCs w:val="24"/>
        </w:rPr>
        <w:t>options for standards for private and social rented housing closer, and in paper 3 there is a summary of differences between these standards</w:t>
      </w:r>
      <w:r w:rsidR="00784BC1" w:rsidRPr="00B00F9D">
        <w:rPr>
          <w:rFonts w:ascii="Arial" w:hAnsi="Arial" w:cs="Arial"/>
          <w:sz w:val="24"/>
          <w:szCs w:val="24"/>
        </w:rPr>
        <w:t>. W</w:t>
      </w:r>
      <w:r w:rsidR="00302AAA" w:rsidRPr="00B00F9D">
        <w:rPr>
          <w:rFonts w:ascii="Arial" w:hAnsi="Arial" w:cs="Arial"/>
          <w:sz w:val="24"/>
          <w:szCs w:val="24"/>
        </w:rPr>
        <w:t>e think it would also be useful to compare the rights of tenants to get work done on their homes.</w:t>
      </w:r>
    </w:p>
    <w:p w:rsidR="002A2B53" w:rsidRDefault="002A2B53" w:rsidP="00B00F9D">
      <w:pPr>
        <w:spacing w:after="0" w:line="240" w:lineRule="auto"/>
        <w:jc w:val="both"/>
        <w:rPr>
          <w:rFonts w:ascii="Arial" w:hAnsi="Arial" w:cs="Arial"/>
          <w:sz w:val="24"/>
          <w:szCs w:val="24"/>
        </w:rPr>
      </w:pPr>
    </w:p>
    <w:p w:rsidR="002A2B53" w:rsidRDefault="002A2B53" w:rsidP="00B00F9D">
      <w:pPr>
        <w:spacing w:after="0" w:line="240" w:lineRule="auto"/>
        <w:jc w:val="both"/>
        <w:rPr>
          <w:rFonts w:ascii="Arial" w:hAnsi="Arial" w:cs="Arial"/>
          <w:sz w:val="24"/>
          <w:szCs w:val="24"/>
        </w:rPr>
      </w:pPr>
    </w:p>
    <w:p w:rsidR="002A2B53" w:rsidRDefault="002A2B53" w:rsidP="00B00F9D">
      <w:pPr>
        <w:spacing w:after="0" w:line="240" w:lineRule="auto"/>
        <w:jc w:val="both"/>
        <w:rPr>
          <w:rFonts w:ascii="Arial" w:hAnsi="Arial" w:cs="Arial"/>
          <w:sz w:val="24"/>
          <w:szCs w:val="24"/>
        </w:rPr>
      </w:pPr>
    </w:p>
    <w:p w:rsidR="002A2B53" w:rsidRPr="00B00F9D" w:rsidRDefault="002A2B53" w:rsidP="00B00F9D">
      <w:pPr>
        <w:spacing w:after="0" w:line="240" w:lineRule="auto"/>
        <w:jc w:val="both"/>
        <w:rPr>
          <w:rFonts w:ascii="Arial" w:hAnsi="Arial" w:cs="Arial"/>
          <w:sz w:val="24"/>
          <w:szCs w:val="24"/>
        </w:rPr>
      </w:pPr>
    </w:p>
    <w:p w:rsidR="00302AAA" w:rsidRDefault="00302AAA" w:rsidP="00B00F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AC67BF" w:rsidRPr="00AC67BF" w:rsidTr="00AC67BF">
        <w:trPr>
          <w:tblHeader/>
        </w:trPr>
        <w:tc>
          <w:tcPr>
            <w:tcW w:w="3080" w:type="dxa"/>
          </w:tcPr>
          <w:p w:rsidR="00AC67BF" w:rsidRPr="00AC67BF" w:rsidRDefault="00AC67BF" w:rsidP="00B00F9D">
            <w:pPr>
              <w:pStyle w:val="ListParagraph"/>
              <w:ind w:left="0"/>
              <w:rPr>
                <w:rFonts w:ascii="Arial" w:hAnsi="Arial" w:cs="Arial"/>
                <w:b/>
                <w:sz w:val="24"/>
                <w:szCs w:val="24"/>
              </w:rPr>
            </w:pPr>
          </w:p>
        </w:tc>
        <w:tc>
          <w:tcPr>
            <w:tcW w:w="3081" w:type="dxa"/>
          </w:tcPr>
          <w:p w:rsidR="00AC67BF" w:rsidRPr="00AC67BF" w:rsidRDefault="00AC67BF" w:rsidP="00B00F9D">
            <w:pPr>
              <w:pStyle w:val="ListParagraph"/>
              <w:ind w:left="0"/>
              <w:rPr>
                <w:rFonts w:ascii="Arial" w:hAnsi="Arial" w:cs="Arial"/>
                <w:b/>
                <w:sz w:val="24"/>
                <w:szCs w:val="24"/>
              </w:rPr>
            </w:pPr>
            <w:r w:rsidRPr="00AC67BF">
              <w:rPr>
                <w:rFonts w:ascii="Arial" w:hAnsi="Arial" w:cs="Arial"/>
                <w:b/>
                <w:sz w:val="24"/>
                <w:szCs w:val="24"/>
              </w:rPr>
              <w:t>Private Sector</w:t>
            </w:r>
          </w:p>
        </w:tc>
        <w:tc>
          <w:tcPr>
            <w:tcW w:w="3081" w:type="dxa"/>
          </w:tcPr>
          <w:p w:rsidR="00AC67BF" w:rsidRPr="00AC67BF" w:rsidRDefault="00AC67BF" w:rsidP="00B00F9D">
            <w:pPr>
              <w:pStyle w:val="ListParagraph"/>
              <w:ind w:left="0"/>
              <w:rPr>
                <w:rFonts w:ascii="Arial" w:hAnsi="Arial" w:cs="Arial"/>
                <w:b/>
                <w:sz w:val="24"/>
                <w:szCs w:val="24"/>
              </w:rPr>
            </w:pPr>
            <w:r w:rsidRPr="00AC67BF">
              <w:rPr>
                <w:rFonts w:ascii="Arial" w:hAnsi="Arial" w:cs="Arial"/>
                <w:b/>
                <w:sz w:val="24"/>
                <w:szCs w:val="24"/>
              </w:rPr>
              <w:t>Social Sector</w:t>
            </w:r>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Right to make alterations and improvements</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Only with landlord’s consent</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Only with landlord’s consent</w:t>
            </w:r>
            <w:r>
              <w:rPr>
                <w:rFonts w:ascii="Arial" w:hAnsi="Arial" w:cs="Arial"/>
                <w:sz w:val="24"/>
                <w:szCs w:val="24"/>
              </w:rPr>
              <w:t>,</w:t>
            </w:r>
            <w:r w:rsidRPr="00AC67BF">
              <w:rPr>
                <w:rFonts w:ascii="Arial" w:hAnsi="Arial" w:cs="Arial"/>
                <w:sz w:val="24"/>
                <w:szCs w:val="24"/>
              </w:rPr>
              <w:t xml:space="preserve"> but consent must not be unreasonably withheld </w:t>
            </w:r>
            <w:r w:rsidRPr="00AC67BF">
              <w:rPr>
                <w:rFonts w:ascii="Arial" w:hAnsi="Arial" w:cs="Arial"/>
                <w:sz w:val="24"/>
                <w:szCs w:val="24"/>
                <w:vertAlign w:val="superscript"/>
              </w:rPr>
              <w:footnoteReference w:id="13"/>
            </w:r>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Compensation for improvements</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At landlord’s discretion</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C</w:t>
            </w:r>
            <w:r>
              <w:rPr>
                <w:rFonts w:ascii="Arial" w:hAnsi="Arial" w:cs="Arial"/>
                <w:sz w:val="24"/>
                <w:szCs w:val="24"/>
              </w:rPr>
              <w:t xml:space="preserve">ompensation for qualifying work carried out with the landlord’s consent, </w:t>
            </w:r>
            <w:r w:rsidRPr="00AC67BF">
              <w:rPr>
                <w:rFonts w:ascii="Arial" w:hAnsi="Arial" w:cs="Arial"/>
                <w:sz w:val="24"/>
                <w:szCs w:val="24"/>
              </w:rPr>
              <w:t>at end of tenancy</w:t>
            </w:r>
            <w:r>
              <w:rPr>
                <w:rFonts w:ascii="Arial" w:hAnsi="Arial" w:cs="Arial"/>
                <w:sz w:val="24"/>
                <w:szCs w:val="24"/>
              </w:rPr>
              <w:t xml:space="preserve"> and</w:t>
            </w:r>
            <w:r w:rsidRPr="00AC67BF">
              <w:rPr>
                <w:rFonts w:ascii="Arial" w:hAnsi="Arial" w:cs="Arial"/>
                <w:sz w:val="24"/>
                <w:szCs w:val="24"/>
              </w:rPr>
              <w:t xml:space="preserve"> subject to depreciation </w:t>
            </w:r>
            <w:r w:rsidRPr="00AC67BF">
              <w:rPr>
                <w:rFonts w:ascii="Arial" w:hAnsi="Arial" w:cs="Arial"/>
                <w:sz w:val="24"/>
                <w:szCs w:val="24"/>
                <w:vertAlign w:val="superscript"/>
              </w:rPr>
              <w:footnoteReference w:id="14"/>
            </w:r>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Timescale for repairs</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 xml:space="preserve">Within a reasonable time of being notified </w:t>
            </w:r>
            <w:r w:rsidRPr="00AC67BF">
              <w:rPr>
                <w:rFonts w:ascii="Arial" w:hAnsi="Arial" w:cs="Arial"/>
                <w:sz w:val="24"/>
                <w:szCs w:val="24"/>
                <w:vertAlign w:val="superscript"/>
              </w:rPr>
              <w:footnoteReference w:id="15"/>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Some specified small repairs within a fixed number of working days,</w:t>
            </w:r>
            <w:r w:rsidRPr="00AC67BF">
              <w:rPr>
                <w:rFonts w:ascii="Arial" w:hAnsi="Arial" w:cs="Arial"/>
                <w:sz w:val="24"/>
                <w:szCs w:val="24"/>
                <w:vertAlign w:val="superscript"/>
              </w:rPr>
              <w:footnoteReference w:id="16"/>
            </w:r>
            <w:r w:rsidRPr="00AC67BF">
              <w:rPr>
                <w:rFonts w:ascii="Arial" w:hAnsi="Arial" w:cs="Arial"/>
                <w:sz w:val="24"/>
                <w:szCs w:val="24"/>
              </w:rPr>
              <w:t xml:space="preserve"> otherwise within a reasonable time of being notified </w:t>
            </w:r>
            <w:r w:rsidRPr="00AC67BF">
              <w:rPr>
                <w:rFonts w:ascii="Arial" w:hAnsi="Arial" w:cs="Arial"/>
                <w:sz w:val="24"/>
                <w:szCs w:val="24"/>
                <w:vertAlign w:val="superscript"/>
              </w:rPr>
              <w:footnoteReference w:id="17"/>
            </w:r>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Choice about when work is done</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At landlord’s discretion</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 xml:space="preserve">Tenants must be given reasonable choices about when work is done </w:t>
            </w:r>
            <w:r w:rsidRPr="00AC67BF">
              <w:rPr>
                <w:rFonts w:ascii="Arial" w:hAnsi="Arial" w:cs="Arial"/>
                <w:sz w:val="24"/>
                <w:szCs w:val="24"/>
                <w:vertAlign w:val="superscript"/>
              </w:rPr>
              <w:footnoteReference w:id="18"/>
            </w:r>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Damage caused during repair work</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 xml:space="preserve">No statutory duty but possibly common law liability </w:t>
            </w:r>
            <w:r w:rsidRPr="00AC67BF">
              <w:rPr>
                <w:rFonts w:ascii="Arial" w:hAnsi="Arial" w:cs="Arial"/>
                <w:sz w:val="24"/>
                <w:szCs w:val="24"/>
                <w:vertAlign w:val="superscript"/>
              </w:rPr>
              <w:footnoteReference w:id="19"/>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 xml:space="preserve">Right to reinstatement or compensation for damage to house or property in connection with inspections, repairs or improvements or entry </w:t>
            </w:r>
            <w:bookmarkStart w:id="1" w:name="_Ref459289795"/>
            <w:r w:rsidRPr="00AC67BF">
              <w:rPr>
                <w:rFonts w:ascii="Arial" w:hAnsi="Arial" w:cs="Arial"/>
                <w:sz w:val="24"/>
                <w:szCs w:val="24"/>
                <w:vertAlign w:val="superscript"/>
              </w:rPr>
              <w:footnoteReference w:id="20"/>
            </w:r>
            <w:bookmarkEnd w:id="1"/>
          </w:p>
        </w:tc>
      </w:tr>
      <w:tr w:rsidR="00AC67BF" w:rsidRPr="00AC67BF" w:rsidTr="00AC67BF">
        <w:trPr>
          <w:cantSplit/>
        </w:trPr>
        <w:tc>
          <w:tcPr>
            <w:tcW w:w="3080"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lastRenderedPageBreak/>
              <w:t>Right of appeal</w:t>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 xml:space="preserve">Right to apply to the Private Rented Housing Panel for determination </w:t>
            </w:r>
            <w:r w:rsidRPr="00AC67BF">
              <w:rPr>
                <w:rFonts w:ascii="Arial" w:hAnsi="Arial" w:cs="Arial"/>
                <w:sz w:val="24"/>
                <w:szCs w:val="24"/>
                <w:vertAlign w:val="superscript"/>
              </w:rPr>
              <w:footnoteReference w:id="21"/>
            </w:r>
            <w:r w:rsidRPr="00AC67BF">
              <w:rPr>
                <w:rFonts w:ascii="Arial" w:hAnsi="Arial" w:cs="Arial"/>
                <w:sz w:val="24"/>
                <w:szCs w:val="24"/>
              </w:rPr>
              <w:t xml:space="preserve"> (and local authority has discretionary power to make third party applications on behalf of tenants) </w:t>
            </w:r>
            <w:r w:rsidRPr="00AC67BF">
              <w:rPr>
                <w:rFonts w:ascii="Arial" w:hAnsi="Arial" w:cs="Arial"/>
                <w:sz w:val="24"/>
                <w:szCs w:val="24"/>
                <w:vertAlign w:val="superscript"/>
              </w:rPr>
              <w:footnoteReference w:id="22"/>
            </w:r>
          </w:p>
        </w:tc>
        <w:tc>
          <w:tcPr>
            <w:tcW w:w="3081" w:type="dxa"/>
          </w:tcPr>
          <w:p w:rsidR="00AC67BF" w:rsidRPr="00AC67BF" w:rsidRDefault="00AC67BF" w:rsidP="00B00F9D">
            <w:pPr>
              <w:pStyle w:val="ListParagraph"/>
              <w:ind w:left="0"/>
              <w:rPr>
                <w:rFonts w:ascii="Arial" w:hAnsi="Arial" w:cs="Arial"/>
                <w:sz w:val="24"/>
                <w:szCs w:val="24"/>
              </w:rPr>
            </w:pPr>
            <w:r w:rsidRPr="00AC67BF">
              <w:rPr>
                <w:rFonts w:ascii="Arial" w:hAnsi="Arial" w:cs="Arial"/>
                <w:sz w:val="24"/>
                <w:szCs w:val="24"/>
              </w:rPr>
              <w:t>Right of complaint to landlord and escalation to Scottish Public Services Ombudsman,</w:t>
            </w:r>
            <w:r w:rsidRPr="00AC67BF">
              <w:rPr>
                <w:rFonts w:ascii="Arial" w:hAnsi="Arial" w:cs="Arial"/>
                <w:sz w:val="24"/>
                <w:szCs w:val="24"/>
                <w:vertAlign w:val="superscript"/>
              </w:rPr>
              <w:footnoteReference w:id="23"/>
            </w:r>
            <w:r w:rsidRPr="00AC67BF">
              <w:rPr>
                <w:rFonts w:ascii="Arial" w:hAnsi="Arial" w:cs="Arial"/>
                <w:sz w:val="24"/>
                <w:szCs w:val="24"/>
              </w:rPr>
              <w:t xml:space="preserve"> in cases of significant performance failure can </w:t>
            </w:r>
            <w:r>
              <w:rPr>
                <w:rFonts w:ascii="Arial" w:hAnsi="Arial" w:cs="Arial"/>
                <w:sz w:val="24"/>
                <w:szCs w:val="24"/>
              </w:rPr>
              <w:t>report</w:t>
            </w:r>
            <w:r w:rsidRPr="00AC67BF">
              <w:rPr>
                <w:rFonts w:ascii="Arial" w:hAnsi="Arial" w:cs="Arial"/>
                <w:sz w:val="24"/>
                <w:szCs w:val="24"/>
              </w:rPr>
              <w:t xml:space="preserve"> to the Scottish Housing Regulator </w:t>
            </w:r>
            <w:r w:rsidRPr="00AC67BF">
              <w:rPr>
                <w:rFonts w:ascii="Arial" w:hAnsi="Arial" w:cs="Arial"/>
                <w:sz w:val="24"/>
                <w:szCs w:val="24"/>
                <w:vertAlign w:val="superscript"/>
              </w:rPr>
              <w:footnoteReference w:id="24"/>
            </w:r>
          </w:p>
        </w:tc>
      </w:tr>
      <w:tr w:rsidR="00AC67BF" w:rsidTr="00AC67BF">
        <w:trPr>
          <w:cantSplit/>
        </w:trPr>
        <w:tc>
          <w:tcPr>
            <w:tcW w:w="3080" w:type="dxa"/>
          </w:tcPr>
          <w:p w:rsidR="00AC67BF" w:rsidRDefault="00AC67BF" w:rsidP="00B00F9D">
            <w:pPr>
              <w:rPr>
                <w:rFonts w:ascii="Arial" w:hAnsi="Arial" w:cs="Arial"/>
                <w:sz w:val="24"/>
                <w:szCs w:val="24"/>
              </w:rPr>
            </w:pPr>
            <w:r>
              <w:rPr>
                <w:rFonts w:ascii="Arial" w:hAnsi="Arial" w:cs="Arial"/>
                <w:sz w:val="24"/>
                <w:szCs w:val="24"/>
              </w:rPr>
              <w:t>Enforcement</w:t>
            </w:r>
          </w:p>
        </w:tc>
        <w:tc>
          <w:tcPr>
            <w:tcW w:w="3081" w:type="dxa"/>
          </w:tcPr>
          <w:p w:rsidR="00AC67BF" w:rsidRDefault="00AC67BF" w:rsidP="00B00F9D">
            <w:pPr>
              <w:rPr>
                <w:rFonts w:ascii="Arial" w:hAnsi="Arial" w:cs="Arial"/>
                <w:sz w:val="24"/>
                <w:szCs w:val="24"/>
              </w:rPr>
            </w:pPr>
            <w:r>
              <w:rPr>
                <w:rFonts w:ascii="Arial" w:hAnsi="Arial" w:cs="Arial"/>
                <w:sz w:val="24"/>
                <w:szCs w:val="24"/>
              </w:rPr>
              <w:t>Repairing Standard Enforcement Order,</w:t>
            </w:r>
            <w:r>
              <w:rPr>
                <w:rStyle w:val="FootnoteReference"/>
                <w:rFonts w:ascii="Arial" w:hAnsi="Arial" w:cs="Arial"/>
                <w:sz w:val="24"/>
                <w:szCs w:val="24"/>
              </w:rPr>
              <w:footnoteReference w:id="25"/>
            </w:r>
            <w:r>
              <w:rPr>
                <w:rFonts w:ascii="Arial" w:hAnsi="Arial" w:cs="Arial"/>
                <w:sz w:val="24"/>
                <w:szCs w:val="24"/>
              </w:rPr>
              <w:t xml:space="preserve"> Rent Relief Order,</w:t>
            </w:r>
            <w:r>
              <w:rPr>
                <w:rStyle w:val="FootnoteReference"/>
                <w:rFonts w:ascii="Arial" w:hAnsi="Arial" w:cs="Arial"/>
                <w:sz w:val="24"/>
                <w:szCs w:val="24"/>
              </w:rPr>
              <w:footnoteReference w:id="26"/>
            </w:r>
            <w:r>
              <w:rPr>
                <w:rFonts w:ascii="Arial" w:hAnsi="Arial" w:cs="Arial"/>
                <w:sz w:val="24"/>
                <w:szCs w:val="24"/>
              </w:rPr>
              <w:t xml:space="preserve"> referral to local authority to carry out work,</w:t>
            </w:r>
            <w:r>
              <w:rPr>
                <w:rStyle w:val="FootnoteReference"/>
                <w:rFonts w:ascii="Arial" w:hAnsi="Arial" w:cs="Arial"/>
                <w:sz w:val="24"/>
                <w:szCs w:val="24"/>
              </w:rPr>
              <w:footnoteReference w:id="27"/>
            </w:r>
            <w:r>
              <w:rPr>
                <w:rFonts w:ascii="Arial" w:hAnsi="Arial" w:cs="Arial"/>
                <w:sz w:val="24"/>
                <w:szCs w:val="24"/>
              </w:rPr>
              <w:t xml:space="preserve"> statutory offence </w:t>
            </w:r>
            <w:r>
              <w:rPr>
                <w:rStyle w:val="FootnoteReference"/>
                <w:rFonts w:ascii="Arial" w:hAnsi="Arial" w:cs="Arial"/>
                <w:sz w:val="24"/>
                <w:szCs w:val="24"/>
              </w:rPr>
              <w:footnoteReference w:id="28"/>
            </w:r>
          </w:p>
        </w:tc>
        <w:tc>
          <w:tcPr>
            <w:tcW w:w="3081" w:type="dxa"/>
          </w:tcPr>
          <w:p w:rsidR="00AC67BF" w:rsidRDefault="00AC67BF" w:rsidP="00B00F9D">
            <w:pPr>
              <w:rPr>
                <w:rFonts w:ascii="Arial" w:hAnsi="Arial" w:cs="Arial"/>
                <w:sz w:val="24"/>
                <w:szCs w:val="24"/>
              </w:rPr>
            </w:pPr>
            <w:r>
              <w:rPr>
                <w:rFonts w:ascii="Arial" w:hAnsi="Arial" w:cs="Arial"/>
                <w:sz w:val="24"/>
                <w:szCs w:val="24"/>
              </w:rPr>
              <w:t>There are no formal enforcement powers for complaints or the  Ombudsman, but the tenant has the right to carry out repairs if the landlord fails to do them,</w:t>
            </w:r>
            <w:r>
              <w:rPr>
                <w:rStyle w:val="FootnoteReference"/>
                <w:rFonts w:ascii="Arial" w:hAnsi="Arial" w:cs="Arial"/>
                <w:sz w:val="24"/>
                <w:szCs w:val="24"/>
              </w:rPr>
              <w:footnoteReference w:id="29"/>
            </w:r>
            <w:r>
              <w:rPr>
                <w:rFonts w:ascii="Arial" w:hAnsi="Arial" w:cs="Arial"/>
                <w:sz w:val="24"/>
                <w:szCs w:val="24"/>
              </w:rPr>
              <w:t xml:space="preserve"> and the Regulator has regulatory intervention powers in cases of serious performance failure </w:t>
            </w:r>
            <w:r>
              <w:rPr>
                <w:rStyle w:val="FootnoteReference"/>
                <w:rFonts w:ascii="Arial" w:hAnsi="Arial" w:cs="Arial"/>
                <w:sz w:val="24"/>
                <w:szCs w:val="24"/>
              </w:rPr>
              <w:footnoteReference w:id="30"/>
            </w:r>
          </w:p>
        </w:tc>
      </w:tr>
    </w:tbl>
    <w:p w:rsidR="00AC67BF" w:rsidRDefault="00AC67BF" w:rsidP="00B00F9D">
      <w:pPr>
        <w:pStyle w:val="ListParagraph"/>
        <w:spacing w:after="0" w:line="240" w:lineRule="auto"/>
        <w:ind w:left="0"/>
        <w:jc w:val="both"/>
        <w:rPr>
          <w:rFonts w:ascii="Arial" w:hAnsi="Arial" w:cs="Arial"/>
          <w:sz w:val="24"/>
          <w:szCs w:val="24"/>
        </w:rPr>
      </w:pPr>
    </w:p>
    <w:p w:rsidR="00AC67BF" w:rsidRPr="00B00F9D" w:rsidRDefault="00B00F9D" w:rsidP="00B00F9D">
      <w:pPr>
        <w:spacing w:after="0" w:line="24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C67BF" w:rsidRPr="00B00F9D">
        <w:rPr>
          <w:rFonts w:ascii="Arial" w:hAnsi="Arial" w:cs="Arial"/>
          <w:sz w:val="24"/>
          <w:szCs w:val="24"/>
        </w:rPr>
        <w:t>We think that the differences between enforcement and improvement by tenants in social and private rented homes would be an obstacle to a single common rented standard, but would not prevent changes to existing standards to ensure that all kinds of rents are covered and that standards are consistent across sectors.</w:t>
      </w:r>
    </w:p>
    <w:p w:rsidR="00AC67BF" w:rsidRDefault="00AC67BF" w:rsidP="00B00F9D">
      <w:pPr>
        <w:pStyle w:val="ListParagraph"/>
        <w:spacing w:after="0" w:line="240" w:lineRule="auto"/>
        <w:ind w:left="0"/>
        <w:jc w:val="both"/>
        <w:rPr>
          <w:rFonts w:ascii="Arial" w:hAnsi="Arial" w:cs="Arial"/>
          <w:sz w:val="24"/>
          <w:szCs w:val="24"/>
        </w:rPr>
      </w:pPr>
    </w:p>
    <w:p w:rsidR="00302AAA" w:rsidRDefault="00302AAA" w:rsidP="00B00F9D">
      <w:pPr>
        <w:spacing w:after="0" w:line="240" w:lineRule="auto"/>
        <w:jc w:val="both"/>
        <w:rPr>
          <w:rFonts w:ascii="Arial" w:hAnsi="Arial" w:cs="Arial"/>
          <w:b/>
          <w:sz w:val="24"/>
          <w:szCs w:val="24"/>
        </w:rPr>
      </w:pPr>
      <w:r w:rsidRPr="00302AAA">
        <w:rPr>
          <w:rFonts w:ascii="Arial" w:hAnsi="Arial" w:cs="Arial"/>
          <w:b/>
          <w:sz w:val="24"/>
          <w:szCs w:val="24"/>
        </w:rPr>
        <w:t>Comments</w:t>
      </w:r>
    </w:p>
    <w:p w:rsidR="00302AAA" w:rsidRPr="00302AAA" w:rsidRDefault="00302AAA" w:rsidP="00B00F9D">
      <w:pPr>
        <w:spacing w:after="0" w:line="240" w:lineRule="auto"/>
        <w:jc w:val="both"/>
        <w:rPr>
          <w:rFonts w:ascii="Arial" w:hAnsi="Arial" w:cs="Arial"/>
          <w:b/>
          <w:sz w:val="24"/>
          <w:szCs w:val="24"/>
        </w:rPr>
      </w:pPr>
    </w:p>
    <w:p w:rsidR="00302AAA" w:rsidRPr="00B00F9D" w:rsidRDefault="00B00F9D" w:rsidP="00B00F9D">
      <w:pPr>
        <w:spacing w:after="0" w:line="24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54AE4" w:rsidRPr="00B00F9D">
        <w:rPr>
          <w:rFonts w:ascii="Arial" w:hAnsi="Arial" w:cs="Arial"/>
          <w:sz w:val="24"/>
          <w:szCs w:val="24"/>
        </w:rPr>
        <w:t>We have not asked any structured questions for this paper but we invite any comments from members of the forum on either points raised in this paper or on any other issue considered in previous topic papers or otherwise considered relevant to consideration of a common housing quality standard.</w:t>
      </w:r>
    </w:p>
    <w:p w:rsidR="00302AAA" w:rsidRDefault="00302AAA" w:rsidP="00B00F9D">
      <w:pPr>
        <w:spacing w:after="0" w:line="240" w:lineRule="auto"/>
        <w:jc w:val="both"/>
        <w:rPr>
          <w:rFonts w:ascii="Arial" w:hAnsi="Arial" w:cs="Arial"/>
          <w:sz w:val="24"/>
          <w:szCs w:val="24"/>
        </w:rPr>
      </w:pPr>
    </w:p>
    <w:p w:rsidR="00554AE4" w:rsidRDefault="00554AE4" w:rsidP="00784BC1">
      <w:pPr>
        <w:spacing w:after="0" w:line="240" w:lineRule="auto"/>
        <w:jc w:val="both"/>
        <w:rPr>
          <w:rFonts w:ascii="Arial" w:hAnsi="Arial" w:cs="Arial"/>
          <w:sz w:val="24"/>
          <w:szCs w:val="24"/>
        </w:rPr>
      </w:pPr>
    </w:p>
    <w:p w:rsidR="00302AAA" w:rsidRDefault="00302AAA" w:rsidP="00784BC1">
      <w:pPr>
        <w:spacing w:after="0" w:line="240" w:lineRule="auto"/>
        <w:jc w:val="both"/>
        <w:rPr>
          <w:rFonts w:ascii="Arial" w:hAnsi="Arial" w:cs="Arial"/>
          <w:sz w:val="24"/>
          <w:szCs w:val="24"/>
        </w:rPr>
      </w:pPr>
    </w:p>
    <w:p w:rsidR="00302AAA" w:rsidRPr="00302AAA" w:rsidRDefault="00302AAA" w:rsidP="00784BC1">
      <w:pPr>
        <w:spacing w:after="0" w:line="240" w:lineRule="auto"/>
        <w:jc w:val="both"/>
        <w:rPr>
          <w:rFonts w:ascii="Arial" w:hAnsi="Arial" w:cs="Arial"/>
          <w:b/>
          <w:sz w:val="24"/>
          <w:szCs w:val="24"/>
        </w:rPr>
      </w:pPr>
      <w:r w:rsidRPr="00302AAA">
        <w:rPr>
          <w:rFonts w:ascii="Arial" w:hAnsi="Arial" w:cs="Arial"/>
          <w:b/>
          <w:sz w:val="24"/>
          <w:szCs w:val="24"/>
        </w:rPr>
        <w:t>Scottish Government</w:t>
      </w:r>
    </w:p>
    <w:p w:rsidR="00302AAA" w:rsidRPr="00302AAA" w:rsidRDefault="00302AAA" w:rsidP="00784BC1">
      <w:pPr>
        <w:spacing w:after="0" w:line="240" w:lineRule="auto"/>
        <w:jc w:val="both"/>
        <w:rPr>
          <w:rFonts w:ascii="Arial" w:hAnsi="Arial" w:cs="Arial"/>
          <w:b/>
          <w:sz w:val="24"/>
          <w:szCs w:val="24"/>
        </w:rPr>
      </w:pPr>
      <w:r w:rsidRPr="00302AAA">
        <w:rPr>
          <w:rFonts w:ascii="Arial" w:hAnsi="Arial" w:cs="Arial"/>
          <w:b/>
          <w:sz w:val="24"/>
          <w:szCs w:val="24"/>
        </w:rPr>
        <w:t>August 201</w:t>
      </w:r>
      <w:r>
        <w:rPr>
          <w:rFonts w:ascii="Arial" w:hAnsi="Arial" w:cs="Arial"/>
          <w:b/>
          <w:sz w:val="24"/>
          <w:szCs w:val="24"/>
        </w:rPr>
        <w:t>6</w:t>
      </w:r>
    </w:p>
    <w:p w:rsidR="00302AAA" w:rsidRPr="00302AAA" w:rsidRDefault="00302AAA" w:rsidP="00784BC1">
      <w:pPr>
        <w:spacing w:after="0" w:line="240" w:lineRule="auto"/>
        <w:rPr>
          <w:rFonts w:ascii="Arial" w:hAnsi="Arial" w:cs="Arial"/>
          <w:sz w:val="24"/>
          <w:szCs w:val="24"/>
        </w:rPr>
      </w:pPr>
    </w:p>
    <w:sectPr w:rsidR="00302AAA" w:rsidRPr="00302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C7" w:rsidRDefault="004105C7" w:rsidP="0002477B">
      <w:pPr>
        <w:spacing w:after="0" w:line="240" w:lineRule="auto"/>
      </w:pPr>
      <w:r>
        <w:separator/>
      </w:r>
    </w:p>
  </w:endnote>
  <w:endnote w:type="continuationSeparator" w:id="0">
    <w:p w:rsidR="004105C7" w:rsidRDefault="004105C7" w:rsidP="0002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C7" w:rsidRDefault="004105C7" w:rsidP="0002477B">
      <w:pPr>
        <w:spacing w:after="0" w:line="240" w:lineRule="auto"/>
      </w:pPr>
      <w:r>
        <w:separator/>
      </w:r>
    </w:p>
  </w:footnote>
  <w:footnote w:type="continuationSeparator" w:id="0">
    <w:p w:rsidR="004105C7" w:rsidRDefault="004105C7" w:rsidP="0002477B">
      <w:pPr>
        <w:spacing w:after="0" w:line="240" w:lineRule="auto"/>
      </w:pPr>
      <w:r>
        <w:continuationSeparator/>
      </w:r>
    </w:p>
  </w:footnote>
  <w:footnote w:id="1">
    <w:p w:rsidR="00302AAA" w:rsidRPr="00302AAA" w:rsidRDefault="00302AAA">
      <w:pPr>
        <w:pStyle w:val="FootnoteText"/>
        <w:rPr>
          <w:rFonts w:ascii="Arial" w:hAnsi="Arial" w:cs="Arial"/>
        </w:rPr>
      </w:pPr>
      <w:r w:rsidRPr="00302AAA">
        <w:rPr>
          <w:rStyle w:val="FootnoteReference"/>
          <w:rFonts w:ascii="Arial" w:hAnsi="Arial" w:cs="Arial"/>
        </w:rPr>
        <w:footnoteRef/>
      </w:r>
      <w:r w:rsidRPr="00302AAA">
        <w:rPr>
          <w:rFonts w:ascii="Arial" w:hAnsi="Arial" w:cs="Arial"/>
        </w:rPr>
        <w:t xml:space="preserve"> </w:t>
      </w:r>
      <w:hyperlink r:id="rId1" w:history="1">
        <w:r w:rsidRPr="00F06CF4">
          <w:rPr>
            <w:rStyle w:val="Hyperlink"/>
            <w:rFonts w:ascii="Arial" w:hAnsi="Arial" w:cs="Arial"/>
          </w:rPr>
          <w:t>http://www.gov.scot/Topics/Built-Environment/Housing/sustainable/quality</w:t>
        </w:r>
      </w:hyperlink>
      <w:r>
        <w:rPr>
          <w:rFonts w:ascii="Arial" w:hAnsi="Arial" w:cs="Arial"/>
        </w:rPr>
        <w:t xml:space="preserve"> </w:t>
      </w:r>
    </w:p>
  </w:footnote>
  <w:footnote w:id="2">
    <w:p w:rsidR="00302AAA" w:rsidRPr="00302AAA" w:rsidRDefault="00302AAA" w:rsidP="00302AAA">
      <w:pPr>
        <w:pStyle w:val="FootnoteText"/>
        <w:rPr>
          <w:rFonts w:ascii="Arial" w:hAnsi="Arial" w:cs="Arial"/>
        </w:rPr>
      </w:pPr>
      <w:r w:rsidRPr="00302AAA">
        <w:rPr>
          <w:rStyle w:val="FootnoteReference"/>
          <w:rFonts w:ascii="Arial" w:hAnsi="Arial" w:cs="Arial"/>
        </w:rPr>
        <w:footnoteRef/>
      </w:r>
      <w:r w:rsidRPr="00302AAA">
        <w:rPr>
          <w:rFonts w:ascii="Arial" w:hAnsi="Arial" w:cs="Arial"/>
        </w:rPr>
        <w:t xml:space="preserve"> Committee on Economic, Social and Cultural Rights, General Comment 4, The right to adequate housing (Sixth session, 1991), U.N. Doc. E/1992/23, annex III at 114 (1991), </w:t>
      </w:r>
      <w:hyperlink r:id="rId2" w:history="1">
        <w:r w:rsidRPr="00302AAA">
          <w:rPr>
            <w:rStyle w:val="Hyperlink"/>
            <w:rFonts w:ascii="Arial" w:hAnsi="Arial" w:cs="Arial"/>
            <w:lang w:eastAsia="ar-SA"/>
          </w:rPr>
          <w:t>https://www1.umn.edu/humanrts/gencomm/epcomm4.htm</w:t>
        </w:r>
      </w:hyperlink>
      <w:r w:rsidRPr="00302AAA">
        <w:rPr>
          <w:rFonts w:ascii="Arial" w:hAnsi="Arial" w:cs="Arial"/>
        </w:rPr>
        <w:t xml:space="preserve">.  </w:t>
      </w:r>
    </w:p>
  </w:footnote>
  <w:footnote w:id="3">
    <w:p w:rsidR="00302AAA" w:rsidRPr="00302AAA" w:rsidRDefault="00302AAA" w:rsidP="00302AAA">
      <w:pPr>
        <w:pStyle w:val="FootnoteText"/>
        <w:rPr>
          <w:rFonts w:ascii="Arial" w:hAnsi="Arial" w:cs="Arial"/>
        </w:rPr>
      </w:pPr>
      <w:r w:rsidRPr="00302AAA">
        <w:rPr>
          <w:rStyle w:val="FootnoteReference"/>
          <w:rFonts w:ascii="Arial" w:hAnsi="Arial" w:cs="Arial"/>
        </w:rPr>
        <w:footnoteRef/>
      </w:r>
      <w:r w:rsidRPr="00302AAA">
        <w:rPr>
          <w:rFonts w:ascii="Arial" w:hAnsi="Arial" w:cs="Arial"/>
        </w:rPr>
        <w:t xml:space="preserve"> The Scottish Human Rights Commission Submission to the United Nation’s Committee on Economic Social and Cultural Rights for the sixth periodic report of the United Kingdom of Great Britain and Northern Ir</w:t>
      </w:r>
      <w:r>
        <w:rPr>
          <w:rFonts w:ascii="Arial" w:hAnsi="Arial" w:cs="Arial"/>
        </w:rPr>
        <w:t xml:space="preserve">eland, April 2016, footnote 134, </w:t>
      </w:r>
      <w:hyperlink r:id="rId3" w:history="1">
        <w:r w:rsidRPr="00F06CF4">
          <w:rPr>
            <w:rStyle w:val="Hyperlink"/>
            <w:rFonts w:ascii="Arial" w:hAnsi="Arial" w:cs="Arial"/>
          </w:rPr>
          <w:t>http://www.scottishhumanrights.com/resources/policysubmissions/icescr2016</w:t>
        </w:r>
      </w:hyperlink>
      <w:r>
        <w:rPr>
          <w:rFonts w:ascii="Arial" w:hAnsi="Arial" w:cs="Arial"/>
        </w:rPr>
        <w:t xml:space="preserve"> </w:t>
      </w:r>
    </w:p>
  </w:footnote>
  <w:footnote w:id="4">
    <w:p w:rsidR="0002477B" w:rsidRPr="0002477B" w:rsidRDefault="0002477B" w:rsidP="00302AAA">
      <w:pPr>
        <w:pStyle w:val="FootnoteText"/>
        <w:rPr>
          <w:rFonts w:ascii="Arial" w:hAnsi="Arial" w:cs="Arial"/>
        </w:rPr>
      </w:pPr>
      <w:r w:rsidRPr="0002477B">
        <w:rPr>
          <w:rStyle w:val="FootnoteReference"/>
          <w:rFonts w:ascii="Arial" w:hAnsi="Arial" w:cs="Arial"/>
        </w:rPr>
        <w:footnoteRef/>
      </w:r>
      <w:r w:rsidRPr="0002477B">
        <w:rPr>
          <w:rFonts w:ascii="Arial" w:hAnsi="Arial" w:cs="Arial"/>
        </w:rPr>
        <w:t xml:space="preserve"> </w:t>
      </w:r>
      <w:r w:rsidR="00AC67BF" w:rsidRPr="00AC67BF">
        <w:rPr>
          <w:rFonts w:ascii="Arial" w:hAnsi="Arial" w:cs="Arial"/>
        </w:rPr>
        <w:t>Housing (Northern Ireland) Order 1981</w:t>
      </w:r>
      <w:r w:rsidR="00AC67BF">
        <w:rPr>
          <w:rFonts w:ascii="Arial" w:hAnsi="Arial" w:cs="Arial"/>
        </w:rPr>
        <w:t>, article 46,</w:t>
      </w:r>
      <w:r w:rsidR="00AC67BF" w:rsidRPr="00AC67BF">
        <w:rPr>
          <w:rFonts w:ascii="Arial" w:hAnsi="Arial" w:cs="Arial"/>
        </w:rPr>
        <w:t xml:space="preserve"> as substituted by Housing (Northern Ireland) Order 1992</w:t>
      </w:r>
      <w:r w:rsidR="00AC67BF">
        <w:rPr>
          <w:rFonts w:ascii="Arial" w:hAnsi="Arial" w:cs="Arial"/>
        </w:rPr>
        <w:t xml:space="preserve">, Schedule </w:t>
      </w:r>
      <w:proofErr w:type="spellStart"/>
      <w:r w:rsidR="00AC67BF">
        <w:rPr>
          <w:rFonts w:ascii="Arial" w:hAnsi="Arial" w:cs="Arial"/>
        </w:rPr>
        <w:t>5,</w:t>
      </w:r>
      <w:r w:rsidR="00AC67BF" w:rsidRPr="00AC67BF">
        <w:rPr>
          <w:rFonts w:ascii="Arial" w:hAnsi="Arial" w:cs="Arial"/>
        </w:rPr>
        <w:t>.</w:t>
      </w:r>
      <w:hyperlink r:id="rId4" w:history="1">
        <w:r w:rsidRPr="00F06CF4">
          <w:rPr>
            <w:rStyle w:val="Hyperlink"/>
            <w:rFonts w:ascii="Arial" w:hAnsi="Arial" w:cs="Arial"/>
          </w:rPr>
          <w:t>http</w:t>
        </w:r>
        <w:proofErr w:type="spellEnd"/>
        <w:r w:rsidRPr="00F06CF4">
          <w:rPr>
            <w:rStyle w:val="Hyperlink"/>
            <w:rFonts w:ascii="Arial" w:hAnsi="Arial" w:cs="Arial"/>
          </w:rPr>
          <w:t>://www.legislation.gov.uk/nisi/1981/156/article/46</w:t>
        </w:r>
      </w:hyperlink>
      <w:r>
        <w:rPr>
          <w:rFonts w:ascii="Arial" w:hAnsi="Arial" w:cs="Arial"/>
        </w:rPr>
        <w:t xml:space="preserve"> </w:t>
      </w:r>
    </w:p>
  </w:footnote>
  <w:footnote w:id="5">
    <w:p w:rsidR="00302AAA" w:rsidRPr="00302AAA" w:rsidRDefault="00302AAA">
      <w:pPr>
        <w:pStyle w:val="FootnoteText"/>
        <w:rPr>
          <w:rFonts w:ascii="Arial" w:hAnsi="Arial" w:cs="Arial"/>
        </w:rPr>
      </w:pPr>
      <w:r w:rsidRPr="00302AAA">
        <w:rPr>
          <w:rStyle w:val="FootnoteReference"/>
          <w:rFonts w:ascii="Arial" w:hAnsi="Arial" w:cs="Arial"/>
        </w:rPr>
        <w:footnoteRef/>
      </w:r>
      <w:r w:rsidRPr="00302AAA">
        <w:rPr>
          <w:rFonts w:ascii="Arial" w:hAnsi="Arial" w:cs="Arial"/>
        </w:rPr>
        <w:t xml:space="preserve"> </w:t>
      </w:r>
      <w:r w:rsidR="00AC67BF">
        <w:rPr>
          <w:rFonts w:ascii="Arial" w:hAnsi="Arial" w:cs="Arial"/>
        </w:rPr>
        <w:t>P</w:t>
      </w:r>
      <w:r w:rsidR="00AC67BF" w:rsidRPr="00AC67BF">
        <w:rPr>
          <w:rFonts w:ascii="Arial" w:hAnsi="Arial" w:cs="Arial"/>
        </w:rPr>
        <w:t>rivate Housing (Tenancies) Scotland Act 2016</w:t>
      </w:r>
      <w:r w:rsidR="00AC67BF">
        <w:rPr>
          <w:rFonts w:ascii="Arial" w:hAnsi="Arial" w:cs="Arial"/>
        </w:rPr>
        <w:t xml:space="preserve">, Schedule 5, </w:t>
      </w:r>
      <w:hyperlink r:id="rId5" w:history="1">
        <w:r w:rsidRPr="00302AAA">
          <w:rPr>
            <w:rStyle w:val="Hyperlink"/>
            <w:rFonts w:ascii="Arial" w:hAnsi="Arial" w:cs="Arial"/>
          </w:rPr>
          <w:t>http://www.legislation.gov.uk/asp/2016/19/schedule/5</w:t>
        </w:r>
      </w:hyperlink>
      <w:r w:rsidRPr="00302AAA">
        <w:rPr>
          <w:rFonts w:ascii="Arial" w:hAnsi="Arial" w:cs="Arial"/>
        </w:rPr>
        <w:t xml:space="preserve"> </w:t>
      </w:r>
    </w:p>
  </w:footnote>
  <w:footnote w:id="6">
    <w:p w:rsidR="00984AEC" w:rsidRPr="00984AEC" w:rsidRDefault="00984AEC">
      <w:pPr>
        <w:pStyle w:val="FootnoteText"/>
        <w:rPr>
          <w:rFonts w:ascii="Arial" w:hAnsi="Arial" w:cs="Arial"/>
        </w:rPr>
      </w:pPr>
      <w:r w:rsidRPr="00984AEC">
        <w:rPr>
          <w:rStyle w:val="FootnoteReference"/>
          <w:rFonts w:ascii="Arial" w:hAnsi="Arial" w:cs="Arial"/>
        </w:rPr>
        <w:footnoteRef/>
      </w:r>
      <w:r w:rsidRPr="00984AEC">
        <w:rPr>
          <w:rFonts w:ascii="Arial" w:hAnsi="Arial" w:cs="Arial"/>
        </w:rPr>
        <w:t xml:space="preserve"> Official Report of the Rural Affairs, Climate Change and Environment Committee for 10 February 2016, </w:t>
      </w:r>
      <w:hyperlink r:id="rId6" w:history="1">
        <w:r w:rsidRPr="00984AEC">
          <w:rPr>
            <w:rStyle w:val="Hyperlink"/>
            <w:rFonts w:ascii="Arial" w:hAnsi="Arial" w:cs="Arial"/>
          </w:rPr>
          <w:t>http://www.parliament.scot/parliamentarybusiness/report.aspx?r=10368</w:t>
        </w:r>
      </w:hyperlink>
      <w:r w:rsidRPr="00984AEC">
        <w:rPr>
          <w:rFonts w:ascii="Arial" w:hAnsi="Arial" w:cs="Arial"/>
        </w:rPr>
        <w:t xml:space="preserve"> </w:t>
      </w:r>
    </w:p>
  </w:footnote>
  <w:footnote w:id="7">
    <w:p w:rsidR="00522E5E" w:rsidRPr="00522E5E" w:rsidRDefault="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Noise from Roads, </w:t>
      </w:r>
      <w:hyperlink r:id="rId7" w:history="1">
        <w:r w:rsidRPr="00522E5E">
          <w:rPr>
            <w:rStyle w:val="Hyperlink"/>
            <w:rFonts w:ascii="Arial" w:hAnsi="Arial" w:cs="Arial"/>
          </w:rPr>
          <w:t>http://www.transport.gov.scot/report/j11747-00.htm</w:t>
        </w:r>
      </w:hyperlink>
      <w:r w:rsidRPr="00522E5E">
        <w:rPr>
          <w:rFonts w:ascii="Arial" w:hAnsi="Arial" w:cs="Arial"/>
        </w:rPr>
        <w:t xml:space="preserve"> </w:t>
      </w:r>
    </w:p>
  </w:footnote>
  <w:footnote w:id="8">
    <w:p w:rsidR="00522E5E" w:rsidRPr="00522E5E" w:rsidRDefault="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SHQS Annex E, </w:t>
      </w:r>
      <w:hyperlink r:id="rId8" w:history="1">
        <w:r w:rsidRPr="00A74E1F">
          <w:rPr>
            <w:rStyle w:val="Hyperlink"/>
            <w:rFonts w:ascii="Arial" w:hAnsi="Arial" w:cs="Arial"/>
          </w:rPr>
          <w:t>http://www.gov.scot/Topics/Built-Environment/Housing/16342/shqs/AppendixE</w:t>
        </w:r>
      </w:hyperlink>
      <w:r>
        <w:rPr>
          <w:rFonts w:ascii="Arial" w:hAnsi="Arial" w:cs="Arial"/>
        </w:rPr>
        <w:t xml:space="preserve"> </w:t>
      </w:r>
    </w:p>
  </w:footnote>
  <w:footnote w:id="9">
    <w:p w:rsidR="00522E5E" w:rsidRPr="00522E5E" w:rsidRDefault="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Environmental Protection Act 1990, sections 79-80</w:t>
      </w:r>
      <w:r>
        <w:rPr>
          <w:rFonts w:ascii="Arial" w:hAnsi="Arial" w:cs="Arial"/>
        </w:rPr>
        <w:t xml:space="preserve">, </w:t>
      </w:r>
      <w:hyperlink r:id="rId9" w:history="1">
        <w:r w:rsidRPr="00A74E1F">
          <w:rPr>
            <w:rStyle w:val="Hyperlink"/>
            <w:rFonts w:ascii="Arial" w:hAnsi="Arial" w:cs="Arial"/>
          </w:rPr>
          <w:t>http://www.legislation.gov.uk/ukpga/1990/43/part/III/crossheading/statutory-nuisances-england-and-wales</w:t>
        </w:r>
      </w:hyperlink>
      <w:r>
        <w:rPr>
          <w:rFonts w:ascii="Arial" w:hAnsi="Arial" w:cs="Arial"/>
        </w:rPr>
        <w:t xml:space="preserve"> (provisions applying in Scotland are reproduced following each section) </w:t>
      </w:r>
    </w:p>
  </w:footnote>
  <w:footnote w:id="10">
    <w:p w:rsidR="00522E5E" w:rsidRPr="00522E5E" w:rsidRDefault="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The Antisocial Behaviour (Noise Control) (Scotland) Regulations 2005 (SSI 2005/43), </w:t>
      </w:r>
      <w:hyperlink r:id="rId10" w:history="1">
        <w:r w:rsidRPr="00522E5E">
          <w:rPr>
            <w:rStyle w:val="Hyperlink"/>
            <w:rFonts w:ascii="Arial" w:hAnsi="Arial" w:cs="Arial"/>
          </w:rPr>
          <w:t>http://www.legislation.gov.uk/ssi/2005/43/contents/made</w:t>
        </w:r>
      </w:hyperlink>
      <w:r>
        <w:rPr>
          <w:rFonts w:ascii="Arial" w:hAnsi="Arial" w:cs="Arial"/>
        </w:rPr>
        <w:t>,</w:t>
      </w:r>
      <w:r w:rsidRPr="00522E5E">
        <w:rPr>
          <w:rFonts w:ascii="Arial" w:hAnsi="Arial" w:cs="Arial"/>
        </w:rPr>
        <w:t xml:space="preserve"> and Guidance on Noise Nuisance, </w:t>
      </w:r>
      <w:hyperlink r:id="rId11" w:history="1">
        <w:r w:rsidRPr="00522E5E">
          <w:rPr>
            <w:rStyle w:val="Hyperlink"/>
            <w:rFonts w:ascii="Arial" w:hAnsi="Arial" w:cs="Arial"/>
          </w:rPr>
          <w:t>http://www.gov.scot/Publications/2004/10/20151/45699</w:t>
        </w:r>
      </w:hyperlink>
      <w:r w:rsidRPr="00522E5E">
        <w:rPr>
          <w:rFonts w:ascii="Arial" w:hAnsi="Arial" w:cs="Arial"/>
        </w:rPr>
        <w:t xml:space="preserve"> </w:t>
      </w:r>
    </w:p>
  </w:footnote>
  <w:footnote w:id="11">
    <w:p w:rsidR="00522E5E" w:rsidRPr="00522E5E" w:rsidRDefault="00522E5E" w:rsidP="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The Development and Production of a guide for noise Control from Laminate and Wooden Flooring (2005), Annex A, </w:t>
      </w:r>
      <w:hyperlink r:id="rId12" w:history="1">
        <w:r w:rsidRPr="00522E5E">
          <w:rPr>
            <w:rStyle w:val="Hyperlink"/>
            <w:rFonts w:ascii="Arial" w:hAnsi="Arial" w:cs="Arial"/>
          </w:rPr>
          <w:t>http://www.gov.scot/resource/doc/37428/0009545.pdf</w:t>
        </w:r>
      </w:hyperlink>
      <w:r w:rsidRPr="00522E5E">
        <w:rPr>
          <w:rFonts w:ascii="Arial" w:hAnsi="Arial" w:cs="Arial"/>
        </w:rPr>
        <w:t xml:space="preserve"> </w:t>
      </w:r>
    </w:p>
  </w:footnote>
  <w:footnote w:id="12">
    <w:p w:rsidR="00522E5E" w:rsidRPr="00522E5E" w:rsidRDefault="00522E5E">
      <w:pPr>
        <w:pStyle w:val="FootnoteText"/>
        <w:rPr>
          <w:rFonts w:ascii="Arial" w:hAnsi="Arial" w:cs="Arial"/>
        </w:rPr>
      </w:pPr>
      <w:r w:rsidRPr="00522E5E">
        <w:rPr>
          <w:rStyle w:val="FootnoteReference"/>
          <w:rFonts w:ascii="Arial" w:hAnsi="Arial" w:cs="Arial"/>
        </w:rPr>
        <w:footnoteRef/>
      </w:r>
      <w:r w:rsidRPr="00522E5E">
        <w:rPr>
          <w:rFonts w:ascii="Arial" w:hAnsi="Arial" w:cs="Arial"/>
        </w:rPr>
        <w:t xml:space="preserve"> Neighbour Noise Between Flats: The Influence of Laminate and Hardwood Flooring, </w:t>
      </w:r>
      <w:hyperlink r:id="rId13" w:history="1">
        <w:r w:rsidRPr="00522E5E">
          <w:rPr>
            <w:rStyle w:val="Hyperlink"/>
            <w:rFonts w:ascii="Arial" w:hAnsi="Arial" w:cs="Arial"/>
          </w:rPr>
          <w:t>http://www.gov.scot/Publications/2006/10/02102752/1</w:t>
        </w:r>
      </w:hyperlink>
      <w:r w:rsidRPr="00522E5E">
        <w:rPr>
          <w:rFonts w:ascii="Arial" w:hAnsi="Arial" w:cs="Arial"/>
        </w:rPr>
        <w:t xml:space="preserve"> </w:t>
      </w:r>
    </w:p>
  </w:footnote>
  <w:footnote w:id="13">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2001, section 28(1)</w:t>
      </w:r>
      <w:r>
        <w:rPr>
          <w:rFonts w:ascii="Arial" w:hAnsi="Arial" w:cs="Arial"/>
        </w:rPr>
        <w:t xml:space="preserve">, </w:t>
      </w:r>
      <w:hyperlink r:id="rId14" w:history="1">
        <w:r w:rsidRPr="00A74E1F">
          <w:rPr>
            <w:rStyle w:val="Hyperlink"/>
            <w:rFonts w:ascii="Arial" w:hAnsi="Arial" w:cs="Arial"/>
          </w:rPr>
          <w:t>http://www.legislation.gov.uk/asp/2001/10/section/28</w:t>
        </w:r>
      </w:hyperlink>
      <w:r>
        <w:rPr>
          <w:rFonts w:ascii="Arial" w:hAnsi="Arial" w:cs="Arial"/>
        </w:rPr>
        <w:t xml:space="preserve"> </w:t>
      </w:r>
    </w:p>
  </w:footnote>
  <w:footnote w:id="14">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2001, section 30 and the Scottish Secure Tenants (Compensation for Improvements) Regulations 2002 (SSI 2002/312), see “Right to Compensation for Improvements”, </w:t>
      </w:r>
      <w:hyperlink r:id="rId15" w:history="1">
        <w:r w:rsidRPr="00AC67BF">
          <w:rPr>
            <w:rStyle w:val="Hyperlink"/>
            <w:rFonts w:ascii="Arial" w:hAnsi="Arial" w:cs="Arial"/>
          </w:rPr>
          <w:t>http://www.gov.scot/Publications/2002/09/15486/11216</w:t>
        </w:r>
      </w:hyperlink>
      <w:r w:rsidRPr="00AC67BF">
        <w:rPr>
          <w:rFonts w:ascii="Arial" w:hAnsi="Arial" w:cs="Arial"/>
        </w:rPr>
        <w:t xml:space="preserve"> </w:t>
      </w:r>
    </w:p>
  </w:footnote>
  <w:footnote w:id="15">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14(4)</w:t>
      </w:r>
      <w:r>
        <w:rPr>
          <w:rFonts w:ascii="Arial" w:hAnsi="Arial" w:cs="Arial"/>
        </w:rPr>
        <w:t xml:space="preserve">, </w:t>
      </w:r>
      <w:hyperlink r:id="rId16" w:history="1">
        <w:r w:rsidRPr="00A74E1F">
          <w:rPr>
            <w:rStyle w:val="Hyperlink"/>
            <w:rFonts w:ascii="Arial" w:hAnsi="Arial" w:cs="Arial"/>
          </w:rPr>
          <w:t>http://www.legislation.gov.uk/asp/2006/1/section/14</w:t>
        </w:r>
      </w:hyperlink>
      <w:r>
        <w:rPr>
          <w:rFonts w:ascii="Arial" w:hAnsi="Arial" w:cs="Arial"/>
        </w:rPr>
        <w:t xml:space="preserve"> </w:t>
      </w:r>
    </w:p>
  </w:footnote>
  <w:footnote w:id="16">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The Scottish Secure Tenants (Right to Repair) Regulations 2002 (SSI 2002/316), see “Right to Repair”, </w:t>
      </w:r>
      <w:hyperlink r:id="rId17" w:history="1">
        <w:r w:rsidRPr="00AC67BF">
          <w:rPr>
            <w:rStyle w:val="Hyperlink"/>
            <w:rFonts w:ascii="Arial" w:hAnsi="Arial" w:cs="Arial"/>
          </w:rPr>
          <w:t>http://www.gov.scot/Publications/2002/09/15485/11214</w:t>
        </w:r>
      </w:hyperlink>
      <w:r w:rsidRPr="00AC67BF">
        <w:rPr>
          <w:rFonts w:ascii="Arial" w:hAnsi="Arial" w:cs="Arial"/>
        </w:rPr>
        <w:t xml:space="preserve"> </w:t>
      </w:r>
    </w:p>
  </w:footnote>
  <w:footnote w:id="17">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2001, Schedule 4, para 3</w:t>
      </w:r>
      <w:r>
        <w:rPr>
          <w:rFonts w:ascii="Arial" w:hAnsi="Arial" w:cs="Arial"/>
        </w:rPr>
        <w:t xml:space="preserve">, </w:t>
      </w:r>
      <w:hyperlink r:id="rId18" w:history="1">
        <w:r w:rsidRPr="00A74E1F">
          <w:rPr>
            <w:rStyle w:val="Hyperlink"/>
            <w:rFonts w:ascii="Arial" w:hAnsi="Arial" w:cs="Arial"/>
          </w:rPr>
          <w:t>http://www.legislation.gov.uk/asp/2001/10/schedule/4</w:t>
        </w:r>
      </w:hyperlink>
      <w:r>
        <w:rPr>
          <w:rFonts w:ascii="Arial" w:hAnsi="Arial" w:cs="Arial"/>
        </w:rPr>
        <w:t xml:space="preserve"> </w:t>
      </w:r>
    </w:p>
  </w:footnote>
  <w:footnote w:id="18">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Scottish Social Housing Charter, outcome 5, </w:t>
      </w:r>
      <w:hyperlink r:id="rId19" w:history="1">
        <w:r w:rsidRPr="00AC67BF">
          <w:rPr>
            <w:rStyle w:val="Hyperlink"/>
            <w:rFonts w:ascii="Arial" w:hAnsi="Arial" w:cs="Arial"/>
          </w:rPr>
          <w:t>http://www.gov.scot/Publications/2012/03/2602/0</w:t>
        </w:r>
      </w:hyperlink>
      <w:r w:rsidRPr="00AC67BF">
        <w:rPr>
          <w:rFonts w:ascii="Arial" w:hAnsi="Arial" w:cs="Arial"/>
        </w:rPr>
        <w:t xml:space="preserve"> </w:t>
      </w:r>
    </w:p>
  </w:footnote>
  <w:footnote w:id="19">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The legal commentary on the reference in the next footnote refers to a common law duty and cites </w:t>
      </w:r>
      <w:proofErr w:type="spellStart"/>
      <w:r w:rsidRPr="00AC67BF">
        <w:rPr>
          <w:rFonts w:ascii="Arial" w:hAnsi="Arial" w:cs="Arial"/>
        </w:rPr>
        <w:t>McGreal</w:t>
      </w:r>
      <w:proofErr w:type="spellEnd"/>
      <w:r w:rsidRPr="00AC67BF">
        <w:rPr>
          <w:rFonts w:ascii="Arial" w:hAnsi="Arial" w:cs="Arial"/>
        </w:rPr>
        <w:t xml:space="preserve"> v Wake (1984) 128 SJ 11, see </w:t>
      </w:r>
      <w:hyperlink r:id="rId20" w:history="1">
        <w:r w:rsidRPr="00AC67BF">
          <w:rPr>
            <w:rStyle w:val="Hyperlink"/>
            <w:rFonts w:ascii="Arial" w:hAnsi="Arial" w:cs="Arial"/>
          </w:rPr>
          <w:t>http://www.gov.scot/Publications/2002/09/15391/10809</w:t>
        </w:r>
      </w:hyperlink>
      <w:r w:rsidRPr="00AC67BF">
        <w:rPr>
          <w:rFonts w:ascii="Arial" w:hAnsi="Arial" w:cs="Arial"/>
        </w:rPr>
        <w:t xml:space="preserve"> </w:t>
      </w:r>
    </w:p>
  </w:footnote>
  <w:footnote w:id="20">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Model Revised Scottish Secure Tenancy Agreement, para 5.14, </w:t>
      </w:r>
      <w:hyperlink r:id="rId21" w:history="1">
        <w:r w:rsidRPr="00AC67BF">
          <w:rPr>
            <w:rStyle w:val="Hyperlink"/>
            <w:rFonts w:ascii="Arial" w:hAnsi="Arial" w:cs="Arial"/>
          </w:rPr>
          <w:t>http://www.gov.scot/Publications/2002/09/15391/10796</w:t>
        </w:r>
      </w:hyperlink>
      <w:r w:rsidRPr="00AC67BF">
        <w:rPr>
          <w:rFonts w:ascii="Arial" w:hAnsi="Arial" w:cs="Arial"/>
        </w:rPr>
        <w:t xml:space="preserve"> </w:t>
      </w:r>
    </w:p>
  </w:footnote>
  <w:footnote w:id="21">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22(1)</w:t>
      </w:r>
      <w:r>
        <w:rPr>
          <w:rFonts w:ascii="Arial" w:hAnsi="Arial" w:cs="Arial"/>
        </w:rPr>
        <w:t xml:space="preserve">, </w:t>
      </w:r>
      <w:hyperlink r:id="rId22" w:history="1">
        <w:r w:rsidRPr="00A74E1F">
          <w:rPr>
            <w:rStyle w:val="Hyperlink"/>
            <w:rFonts w:ascii="Arial" w:hAnsi="Arial" w:cs="Arial"/>
          </w:rPr>
          <w:t>http://www.legislation.gov.uk/asp/2006/1/section/22</w:t>
        </w:r>
      </w:hyperlink>
      <w:r>
        <w:rPr>
          <w:rFonts w:ascii="Arial" w:hAnsi="Arial" w:cs="Arial"/>
        </w:rPr>
        <w:t xml:space="preserve"> </w:t>
      </w:r>
    </w:p>
  </w:footnote>
  <w:footnote w:id="22">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22(</w:t>
      </w:r>
      <w:proofErr w:type="spellStart"/>
      <w:r w:rsidRPr="00AC67BF">
        <w:rPr>
          <w:rFonts w:ascii="Arial" w:hAnsi="Arial" w:cs="Arial"/>
        </w:rPr>
        <w:t>1A</w:t>
      </w:r>
      <w:proofErr w:type="spellEnd"/>
      <w:r w:rsidRPr="00AC67BF">
        <w:rPr>
          <w:rFonts w:ascii="Arial" w:hAnsi="Arial" w:cs="Arial"/>
        </w:rPr>
        <w:t>)-(</w:t>
      </w:r>
      <w:proofErr w:type="spellStart"/>
      <w:r w:rsidRPr="00AC67BF">
        <w:rPr>
          <w:rFonts w:ascii="Arial" w:hAnsi="Arial" w:cs="Arial"/>
        </w:rPr>
        <w:t>1B</w:t>
      </w:r>
      <w:proofErr w:type="spellEnd"/>
      <w:r w:rsidRPr="00AC67BF">
        <w:rPr>
          <w:rFonts w:ascii="Arial" w:hAnsi="Arial" w:cs="Arial"/>
        </w:rPr>
        <w:t>), inserted by Housing (Scotland) Act 2014, section 25</w:t>
      </w:r>
      <w:r>
        <w:rPr>
          <w:rFonts w:ascii="Arial" w:hAnsi="Arial" w:cs="Arial"/>
        </w:rPr>
        <w:t xml:space="preserve">, </w:t>
      </w:r>
      <w:hyperlink r:id="rId23" w:history="1">
        <w:r w:rsidRPr="00A74E1F">
          <w:rPr>
            <w:rStyle w:val="Hyperlink"/>
            <w:rFonts w:ascii="Arial" w:hAnsi="Arial" w:cs="Arial"/>
          </w:rPr>
          <w:t>http://www.legislation.gov.uk/asp/2014/14/section/25</w:t>
        </w:r>
      </w:hyperlink>
      <w:r>
        <w:rPr>
          <w:rFonts w:ascii="Arial" w:hAnsi="Arial" w:cs="Arial"/>
        </w:rPr>
        <w:t xml:space="preserve"> </w:t>
      </w:r>
    </w:p>
  </w:footnote>
  <w:footnote w:id="23">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Scottish Public Services Ombudsman Act 2002, Schedule 2, paras 7 and 17</w:t>
      </w:r>
      <w:r>
        <w:rPr>
          <w:rFonts w:ascii="Arial" w:hAnsi="Arial" w:cs="Arial"/>
        </w:rPr>
        <w:t xml:space="preserve">, </w:t>
      </w:r>
      <w:hyperlink r:id="rId24" w:history="1">
        <w:r w:rsidRPr="00A74E1F">
          <w:rPr>
            <w:rStyle w:val="Hyperlink"/>
            <w:rFonts w:ascii="Arial" w:hAnsi="Arial" w:cs="Arial"/>
          </w:rPr>
          <w:t>http://www.legislation.gov.uk/asp/2002/11/schedule/2</w:t>
        </w:r>
      </w:hyperlink>
      <w:r>
        <w:rPr>
          <w:rFonts w:ascii="Arial" w:hAnsi="Arial" w:cs="Arial"/>
        </w:rPr>
        <w:t xml:space="preserve"> </w:t>
      </w:r>
    </w:p>
  </w:footnote>
  <w:footnote w:id="24">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2010, section 47</w:t>
      </w:r>
      <w:r>
        <w:rPr>
          <w:rFonts w:ascii="Arial" w:hAnsi="Arial" w:cs="Arial"/>
        </w:rPr>
        <w:t xml:space="preserve">, </w:t>
      </w:r>
      <w:hyperlink r:id="rId25" w:history="1">
        <w:r w:rsidRPr="00A74E1F">
          <w:rPr>
            <w:rStyle w:val="Hyperlink"/>
            <w:rFonts w:ascii="Arial" w:hAnsi="Arial" w:cs="Arial"/>
          </w:rPr>
          <w:t>http://www.legislation.gov.uk/asp/2010/17/section/47</w:t>
        </w:r>
      </w:hyperlink>
      <w:r>
        <w:rPr>
          <w:rFonts w:ascii="Arial" w:hAnsi="Arial" w:cs="Arial"/>
        </w:rPr>
        <w:t xml:space="preserve">, and see </w:t>
      </w:r>
      <w:hyperlink r:id="rId26" w:history="1">
        <w:r w:rsidRPr="00A74E1F">
          <w:rPr>
            <w:rStyle w:val="Hyperlink"/>
            <w:rFonts w:ascii="Arial" w:hAnsi="Arial" w:cs="Arial"/>
          </w:rPr>
          <w:t>https://www.scottishhousingregulator.gov.uk/what-we-do/raising-concerns-about-landlord</w:t>
        </w:r>
      </w:hyperlink>
      <w:r>
        <w:rPr>
          <w:rFonts w:ascii="Arial" w:hAnsi="Arial" w:cs="Arial"/>
        </w:rPr>
        <w:t xml:space="preserve"> </w:t>
      </w:r>
    </w:p>
  </w:footnote>
  <w:footnote w:id="25">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24(2)</w:t>
      </w:r>
      <w:r>
        <w:rPr>
          <w:rFonts w:ascii="Arial" w:hAnsi="Arial" w:cs="Arial"/>
        </w:rPr>
        <w:t xml:space="preserve">, </w:t>
      </w:r>
      <w:hyperlink r:id="rId27" w:history="1">
        <w:r w:rsidRPr="00A74E1F">
          <w:rPr>
            <w:rStyle w:val="Hyperlink"/>
            <w:rFonts w:ascii="Arial" w:hAnsi="Arial" w:cs="Arial"/>
          </w:rPr>
          <w:t>http://www.legislation.gov.uk/asp/2006/1/section/24</w:t>
        </w:r>
      </w:hyperlink>
      <w:r>
        <w:rPr>
          <w:rFonts w:ascii="Arial" w:hAnsi="Arial" w:cs="Arial"/>
        </w:rPr>
        <w:t xml:space="preserve"> </w:t>
      </w:r>
    </w:p>
  </w:footnote>
  <w:footnote w:id="26">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27</w:t>
      </w:r>
      <w:r>
        <w:rPr>
          <w:rFonts w:ascii="Arial" w:hAnsi="Arial" w:cs="Arial"/>
        </w:rPr>
        <w:t xml:space="preserve">, </w:t>
      </w:r>
      <w:hyperlink r:id="rId28" w:history="1">
        <w:r w:rsidRPr="00A74E1F">
          <w:rPr>
            <w:rStyle w:val="Hyperlink"/>
            <w:rFonts w:ascii="Arial" w:hAnsi="Arial" w:cs="Arial"/>
          </w:rPr>
          <w:t>http://www.legislation.gov.uk/asp/2006/1/section/27</w:t>
        </w:r>
      </w:hyperlink>
      <w:r>
        <w:rPr>
          <w:rFonts w:ascii="Arial" w:hAnsi="Arial" w:cs="Arial"/>
        </w:rPr>
        <w:t xml:space="preserve"> </w:t>
      </w:r>
    </w:p>
  </w:footnote>
  <w:footnote w:id="27">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36</w:t>
      </w:r>
      <w:r>
        <w:rPr>
          <w:rFonts w:ascii="Arial" w:hAnsi="Arial" w:cs="Arial"/>
        </w:rPr>
        <w:t xml:space="preserve">, </w:t>
      </w:r>
      <w:hyperlink r:id="rId29" w:history="1">
        <w:r w:rsidRPr="00A74E1F">
          <w:rPr>
            <w:rStyle w:val="Hyperlink"/>
            <w:rFonts w:ascii="Arial" w:hAnsi="Arial" w:cs="Arial"/>
          </w:rPr>
          <w:t>http://www.legislation.gov.uk/asp/2006/1/section/36</w:t>
        </w:r>
      </w:hyperlink>
      <w:r>
        <w:rPr>
          <w:rFonts w:ascii="Arial" w:hAnsi="Arial" w:cs="Arial"/>
        </w:rPr>
        <w:t xml:space="preserve"> </w:t>
      </w:r>
    </w:p>
  </w:footnote>
  <w:footnote w:id="28">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2006, section 28(1)</w:t>
      </w:r>
      <w:r>
        <w:rPr>
          <w:rFonts w:ascii="Arial" w:hAnsi="Arial" w:cs="Arial"/>
        </w:rPr>
        <w:t xml:space="preserve">, </w:t>
      </w:r>
      <w:hyperlink r:id="rId30" w:history="1">
        <w:r w:rsidRPr="00A74E1F">
          <w:rPr>
            <w:rStyle w:val="Hyperlink"/>
            <w:rFonts w:ascii="Arial" w:hAnsi="Arial" w:cs="Arial"/>
          </w:rPr>
          <w:t>http://www.legislation.gov.uk/asp/2006/1/section/28</w:t>
        </w:r>
      </w:hyperlink>
      <w:r>
        <w:rPr>
          <w:rFonts w:ascii="Arial" w:hAnsi="Arial" w:cs="Arial"/>
        </w:rPr>
        <w:t xml:space="preserve"> </w:t>
      </w:r>
    </w:p>
  </w:footnote>
  <w:footnote w:id="29">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See footnote</w:t>
      </w:r>
      <w:r w:rsidR="0009381E">
        <w:rPr>
          <w:rFonts w:ascii="Arial" w:hAnsi="Arial" w:cs="Arial"/>
        </w:rPr>
        <w:t xml:space="preserve"> </w:t>
      </w:r>
      <w:r w:rsidR="0009381E">
        <w:rPr>
          <w:rFonts w:ascii="Arial" w:hAnsi="Arial" w:cs="Arial"/>
        </w:rPr>
        <w:fldChar w:fldCharType="begin"/>
      </w:r>
      <w:r w:rsidR="0009381E">
        <w:rPr>
          <w:rFonts w:ascii="Arial" w:hAnsi="Arial" w:cs="Arial"/>
        </w:rPr>
        <w:instrText xml:space="preserve"> NOTEREF _Ref459289795 \h </w:instrText>
      </w:r>
      <w:r w:rsidR="0009381E">
        <w:rPr>
          <w:rFonts w:ascii="Arial" w:hAnsi="Arial" w:cs="Arial"/>
        </w:rPr>
      </w:r>
      <w:r w:rsidR="0009381E">
        <w:rPr>
          <w:rFonts w:ascii="Arial" w:hAnsi="Arial" w:cs="Arial"/>
        </w:rPr>
        <w:fldChar w:fldCharType="separate"/>
      </w:r>
      <w:r w:rsidR="0009381E">
        <w:rPr>
          <w:rFonts w:ascii="Arial" w:hAnsi="Arial" w:cs="Arial"/>
        </w:rPr>
        <w:t>20</w:t>
      </w:r>
      <w:r w:rsidR="0009381E">
        <w:rPr>
          <w:rFonts w:ascii="Arial" w:hAnsi="Arial" w:cs="Arial"/>
        </w:rPr>
        <w:fldChar w:fldCharType="end"/>
      </w:r>
      <w:r w:rsidRPr="00AC67BF">
        <w:rPr>
          <w:rFonts w:ascii="Arial" w:hAnsi="Arial" w:cs="Arial"/>
        </w:rPr>
        <w:t xml:space="preserve">, </w:t>
      </w:r>
      <w:proofErr w:type="spellStart"/>
      <w:r w:rsidRPr="00AC67BF">
        <w:rPr>
          <w:rFonts w:ascii="Arial" w:hAnsi="Arial" w:cs="Arial"/>
        </w:rPr>
        <w:t>para</w:t>
      </w:r>
      <w:proofErr w:type="spellEnd"/>
      <w:r w:rsidRPr="00AC67BF">
        <w:rPr>
          <w:rFonts w:ascii="Arial" w:hAnsi="Arial" w:cs="Arial"/>
        </w:rPr>
        <w:t xml:space="preserve"> 5.19</w:t>
      </w:r>
    </w:p>
  </w:footnote>
  <w:footnote w:id="30">
    <w:p w:rsidR="00AC67BF" w:rsidRPr="00AC67BF" w:rsidRDefault="00AC67BF" w:rsidP="00AC67BF">
      <w:pPr>
        <w:pStyle w:val="FootnoteText"/>
        <w:rPr>
          <w:rFonts w:ascii="Arial" w:hAnsi="Arial" w:cs="Arial"/>
        </w:rPr>
      </w:pPr>
      <w:r w:rsidRPr="00AC67BF">
        <w:rPr>
          <w:rStyle w:val="FootnoteReference"/>
          <w:rFonts w:ascii="Arial" w:hAnsi="Arial" w:cs="Arial"/>
        </w:rPr>
        <w:footnoteRef/>
      </w:r>
      <w:r w:rsidRPr="00AC67BF">
        <w:rPr>
          <w:rFonts w:ascii="Arial" w:hAnsi="Arial" w:cs="Arial"/>
        </w:rPr>
        <w:t xml:space="preserve"> Housing (Scotland) Act 2010, section 52</w:t>
      </w:r>
      <w:r>
        <w:rPr>
          <w:rFonts w:ascii="Arial" w:hAnsi="Arial" w:cs="Arial"/>
        </w:rPr>
        <w:t xml:space="preserve">, </w:t>
      </w:r>
      <w:hyperlink r:id="rId31" w:history="1">
        <w:r w:rsidRPr="00A74E1F">
          <w:rPr>
            <w:rStyle w:val="Hyperlink"/>
            <w:rFonts w:ascii="Arial" w:hAnsi="Arial" w:cs="Arial"/>
          </w:rPr>
          <w:t>http://www.legislation.gov.uk/asp/2010/17/section/52</w:t>
        </w:r>
      </w:hyperlink>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0" w:firstLine="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BC33DE"/>
    <w:multiLevelType w:val="hybridMultilevel"/>
    <w:tmpl w:val="30D83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C6947"/>
    <w:multiLevelType w:val="hybridMultilevel"/>
    <w:tmpl w:val="2E2C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BD"/>
    <w:multiLevelType w:val="hybridMultilevel"/>
    <w:tmpl w:val="A1BA08A0"/>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7EB81E99"/>
    <w:multiLevelType w:val="multilevel"/>
    <w:tmpl w:val="E9725D54"/>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7B"/>
    <w:rsid w:val="0000291F"/>
    <w:rsid w:val="000031B1"/>
    <w:rsid w:val="0002477B"/>
    <w:rsid w:val="0009381E"/>
    <w:rsid w:val="002A2B53"/>
    <w:rsid w:val="00302AAA"/>
    <w:rsid w:val="004105C7"/>
    <w:rsid w:val="00522E5E"/>
    <w:rsid w:val="00554AE4"/>
    <w:rsid w:val="006409CF"/>
    <w:rsid w:val="0066466B"/>
    <w:rsid w:val="00784BC1"/>
    <w:rsid w:val="008F774C"/>
    <w:rsid w:val="00984AEC"/>
    <w:rsid w:val="00A40F59"/>
    <w:rsid w:val="00AC67BF"/>
    <w:rsid w:val="00B00F9D"/>
    <w:rsid w:val="00BA24A8"/>
    <w:rsid w:val="00BE0669"/>
    <w:rsid w:val="00D03D58"/>
    <w:rsid w:val="00D20320"/>
    <w:rsid w:val="00E00C06"/>
    <w:rsid w:val="00EA1820"/>
    <w:rsid w:val="00EE088B"/>
    <w:rsid w:val="00F02A7B"/>
    <w:rsid w:val="00F435C7"/>
    <w:rsid w:val="00F8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7B"/>
    <w:pPr>
      <w:ind w:left="720"/>
      <w:contextualSpacing/>
    </w:pPr>
  </w:style>
  <w:style w:type="paragraph" w:styleId="EndnoteText">
    <w:name w:val="endnote text"/>
    <w:basedOn w:val="Normal"/>
    <w:link w:val="EndnoteTextChar"/>
    <w:uiPriority w:val="99"/>
    <w:semiHidden/>
    <w:unhideWhenUsed/>
    <w:rsid w:val="00024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77B"/>
    <w:rPr>
      <w:sz w:val="20"/>
      <w:szCs w:val="20"/>
    </w:rPr>
  </w:style>
  <w:style w:type="character" w:styleId="EndnoteReference">
    <w:name w:val="endnote reference"/>
    <w:basedOn w:val="DefaultParagraphFont"/>
    <w:uiPriority w:val="99"/>
    <w:semiHidden/>
    <w:unhideWhenUsed/>
    <w:rsid w:val="0002477B"/>
    <w:rPr>
      <w:vertAlign w:val="superscript"/>
    </w:rPr>
  </w:style>
  <w:style w:type="paragraph" w:styleId="FootnoteText">
    <w:name w:val="footnote text"/>
    <w:basedOn w:val="Normal"/>
    <w:link w:val="FootnoteTextChar"/>
    <w:uiPriority w:val="99"/>
    <w:semiHidden/>
    <w:unhideWhenUsed/>
    <w:rsid w:val="00024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77B"/>
    <w:rPr>
      <w:sz w:val="20"/>
      <w:szCs w:val="20"/>
    </w:rPr>
  </w:style>
  <w:style w:type="character" w:styleId="FootnoteReference">
    <w:name w:val="footnote reference"/>
    <w:basedOn w:val="DefaultParagraphFont"/>
    <w:uiPriority w:val="99"/>
    <w:unhideWhenUsed/>
    <w:rsid w:val="0002477B"/>
    <w:rPr>
      <w:vertAlign w:val="superscript"/>
    </w:rPr>
  </w:style>
  <w:style w:type="character" w:styleId="Hyperlink">
    <w:name w:val="Hyperlink"/>
    <w:basedOn w:val="DefaultParagraphFont"/>
    <w:uiPriority w:val="99"/>
    <w:unhideWhenUsed/>
    <w:rsid w:val="0002477B"/>
    <w:rPr>
      <w:color w:val="0000FF" w:themeColor="hyperlink"/>
      <w:u w:val="single"/>
    </w:rPr>
  </w:style>
  <w:style w:type="table" w:styleId="TableGrid">
    <w:name w:val="Table Grid"/>
    <w:basedOn w:val="TableNormal"/>
    <w:uiPriority w:val="59"/>
    <w:rsid w:val="00AC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6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7B"/>
    <w:pPr>
      <w:ind w:left="720"/>
      <w:contextualSpacing/>
    </w:pPr>
  </w:style>
  <w:style w:type="paragraph" w:styleId="EndnoteText">
    <w:name w:val="endnote text"/>
    <w:basedOn w:val="Normal"/>
    <w:link w:val="EndnoteTextChar"/>
    <w:uiPriority w:val="99"/>
    <w:semiHidden/>
    <w:unhideWhenUsed/>
    <w:rsid w:val="00024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77B"/>
    <w:rPr>
      <w:sz w:val="20"/>
      <w:szCs w:val="20"/>
    </w:rPr>
  </w:style>
  <w:style w:type="character" w:styleId="EndnoteReference">
    <w:name w:val="endnote reference"/>
    <w:basedOn w:val="DefaultParagraphFont"/>
    <w:uiPriority w:val="99"/>
    <w:semiHidden/>
    <w:unhideWhenUsed/>
    <w:rsid w:val="0002477B"/>
    <w:rPr>
      <w:vertAlign w:val="superscript"/>
    </w:rPr>
  </w:style>
  <w:style w:type="paragraph" w:styleId="FootnoteText">
    <w:name w:val="footnote text"/>
    <w:basedOn w:val="Normal"/>
    <w:link w:val="FootnoteTextChar"/>
    <w:uiPriority w:val="99"/>
    <w:semiHidden/>
    <w:unhideWhenUsed/>
    <w:rsid w:val="00024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77B"/>
    <w:rPr>
      <w:sz w:val="20"/>
      <w:szCs w:val="20"/>
    </w:rPr>
  </w:style>
  <w:style w:type="character" w:styleId="FootnoteReference">
    <w:name w:val="footnote reference"/>
    <w:basedOn w:val="DefaultParagraphFont"/>
    <w:uiPriority w:val="99"/>
    <w:unhideWhenUsed/>
    <w:rsid w:val="0002477B"/>
    <w:rPr>
      <w:vertAlign w:val="superscript"/>
    </w:rPr>
  </w:style>
  <w:style w:type="character" w:styleId="Hyperlink">
    <w:name w:val="Hyperlink"/>
    <w:basedOn w:val="DefaultParagraphFont"/>
    <w:uiPriority w:val="99"/>
    <w:unhideWhenUsed/>
    <w:rsid w:val="0002477B"/>
    <w:rPr>
      <w:color w:val="0000FF" w:themeColor="hyperlink"/>
      <w:u w:val="single"/>
    </w:rPr>
  </w:style>
  <w:style w:type="table" w:styleId="TableGrid">
    <w:name w:val="Table Grid"/>
    <w:basedOn w:val="TableNormal"/>
    <w:uiPriority w:val="59"/>
    <w:rsid w:val="00AC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6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ov.scot/Topics/Built-Environment/Housing/16342/shqs/AppendixE" TargetMode="External"/><Relationship Id="rId13" Type="http://schemas.openxmlformats.org/officeDocument/2006/relationships/hyperlink" Target="http://www.gov.scot/Publications/2006/10/02102752/1" TargetMode="External"/><Relationship Id="rId18" Type="http://schemas.openxmlformats.org/officeDocument/2006/relationships/hyperlink" Target="http://www.legislation.gov.uk/asp/2001/10/schedule/4" TargetMode="External"/><Relationship Id="rId26" Type="http://schemas.openxmlformats.org/officeDocument/2006/relationships/hyperlink" Target="https://www.scottishhousingregulator.gov.uk/what-we-do/raising-concerns-about-landlord" TargetMode="External"/><Relationship Id="rId3" Type="http://schemas.openxmlformats.org/officeDocument/2006/relationships/hyperlink" Target="http://www.scottishhumanrights.com/resources/policysubmissions/icescr2016" TargetMode="External"/><Relationship Id="rId21" Type="http://schemas.openxmlformats.org/officeDocument/2006/relationships/hyperlink" Target="http://www.gov.scot/Publications/2002/09/15391/10796" TargetMode="External"/><Relationship Id="rId7" Type="http://schemas.openxmlformats.org/officeDocument/2006/relationships/hyperlink" Target="http://www.transport.gov.scot/report/j11747-00.htm" TargetMode="External"/><Relationship Id="rId12" Type="http://schemas.openxmlformats.org/officeDocument/2006/relationships/hyperlink" Target="http://www.gov.scot/resource/doc/37428/0009545.pdf" TargetMode="External"/><Relationship Id="rId17" Type="http://schemas.openxmlformats.org/officeDocument/2006/relationships/hyperlink" Target="http://www.gov.scot/Publications/2002/09/15485/11214" TargetMode="External"/><Relationship Id="rId25" Type="http://schemas.openxmlformats.org/officeDocument/2006/relationships/hyperlink" Target="http://www.legislation.gov.uk/asp/2010/17/section/47" TargetMode="External"/><Relationship Id="rId2" Type="http://schemas.openxmlformats.org/officeDocument/2006/relationships/hyperlink" Target="https://www1.umn.edu/humanrts/gencomm/epcomm4.htm" TargetMode="External"/><Relationship Id="rId16" Type="http://schemas.openxmlformats.org/officeDocument/2006/relationships/hyperlink" Target="http://www.legislation.gov.uk/asp/2006/1/section/14" TargetMode="External"/><Relationship Id="rId20" Type="http://schemas.openxmlformats.org/officeDocument/2006/relationships/hyperlink" Target="http://www.gov.scot/Publications/2002/09/15391/10809" TargetMode="External"/><Relationship Id="rId29" Type="http://schemas.openxmlformats.org/officeDocument/2006/relationships/hyperlink" Target="http://www.legislation.gov.uk/asp/2006/1/section/36" TargetMode="External"/><Relationship Id="rId1" Type="http://schemas.openxmlformats.org/officeDocument/2006/relationships/hyperlink" Target="http://www.gov.scot/Topics/Built-Environment/Housing/sustainable/quality" TargetMode="External"/><Relationship Id="rId6" Type="http://schemas.openxmlformats.org/officeDocument/2006/relationships/hyperlink" Target="http://www.parliament.scot/parliamentarybusiness/report.aspx?r=10368" TargetMode="External"/><Relationship Id="rId11" Type="http://schemas.openxmlformats.org/officeDocument/2006/relationships/hyperlink" Target="http://www.gov.scot/Publications/2004/10/20151/45699" TargetMode="External"/><Relationship Id="rId24" Type="http://schemas.openxmlformats.org/officeDocument/2006/relationships/hyperlink" Target="http://www.legislation.gov.uk/asp/2002/11/schedule/2" TargetMode="External"/><Relationship Id="rId5" Type="http://schemas.openxmlformats.org/officeDocument/2006/relationships/hyperlink" Target="http://www.legislation.gov.uk/asp/2016/19/schedule/5" TargetMode="External"/><Relationship Id="rId15" Type="http://schemas.openxmlformats.org/officeDocument/2006/relationships/hyperlink" Target="http://www.gov.scot/Publications/2002/09/15486/11216" TargetMode="External"/><Relationship Id="rId23" Type="http://schemas.openxmlformats.org/officeDocument/2006/relationships/hyperlink" Target="http://www.legislation.gov.uk/asp/2014/14/section/25" TargetMode="External"/><Relationship Id="rId28" Type="http://schemas.openxmlformats.org/officeDocument/2006/relationships/hyperlink" Target="http://www.legislation.gov.uk/asp/2006/1/section/27" TargetMode="External"/><Relationship Id="rId10" Type="http://schemas.openxmlformats.org/officeDocument/2006/relationships/hyperlink" Target="http://www.legislation.gov.uk/ssi/2005/43/contents/made" TargetMode="External"/><Relationship Id="rId19" Type="http://schemas.openxmlformats.org/officeDocument/2006/relationships/hyperlink" Target="http://www.gov.scot/Publications/2012/03/2602/0" TargetMode="External"/><Relationship Id="rId31" Type="http://schemas.openxmlformats.org/officeDocument/2006/relationships/hyperlink" Target="http://www.legislation.gov.uk/asp/2010/17/section/52" TargetMode="External"/><Relationship Id="rId4" Type="http://schemas.openxmlformats.org/officeDocument/2006/relationships/hyperlink" Target="http://www.legislation.gov.uk/nisi/1981/156/article/46" TargetMode="External"/><Relationship Id="rId9" Type="http://schemas.openxmlformats.org/officeDocument/2006/relationships/hyperlink" Target="http://www.legislation.gov.uk/ukpga/1990/43/part/III/crossheading/statutory-nuisances-england-and-wales" TargetMode="External"/><Relationship Id="rId14" Type="http://schemas.openxmlformats.org/officeDocument/2006/relationships/hyperlink" Target="http://www.legislation.gov.uk/asp/2001/10/section/28" TargetMode="External"/><Relationship Id="rId22" Type="http://schemas.openxmlformats.org/officeDocument/2006/relationships/hyperlink" Target="http://www.legislation.gov.uk/asp/2006/1/section/22" TargetMode="External"/><Relationship Id="rId27" Type="http://schemas.openxmlformats.org/officeDocument/2006/relationships/hyperlink" Target="http://www.legislation.gov.uk/asp/2006/1/section/24" TargetMode="External"/><Relationship Id="rId30" Type="http://schemas.openxmlformats.org/officeDocument/2006/relationships/hyperlink" Target="http://www.legislation.gov.uk/asp/2006/1/sectio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D911-E0E8-4816-80B6-F1467751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n300247</dc:creator>
  <cp:lastModifiedBy>u052429</cp:lastModifiedBy>
  <cp:revision>3</cp:revision>
  <dcterms:created xsi:type="dcterms:W3CDTF">2016-10-26T15:02:00Z</dcterms:created>
  <dcterms:modified xsi:type="dcterms:W3CDTF">2016-10-26T15:02:00Z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A15182041</vt:lpwstr>
  </property>
  <property fmtid="{D5CDD505-2E9C-101B-9397-08002B2CF9AE}" pid="4" name="Objective-Title">
    <vt:lpwstr>Topic paper - supplement to topic papers</vt:lpwstr>
  </property>
  <property fmtid="{D5CDD505-2E9C-101B-9397-08002B2CF9AE}" pid="5" name="Objective-Comment">
    <vt:lpwstr>
    </vt:lpwstr>
  </property>
  <property fmtid="{D5CDD505-2E9C-101B-9397-08002B2CF9AE}" pid="6" name="Objective-CreationStamp">
    <vt:filetime>2016-08-19T13:32:29Z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2016-10-26T16:03:31Z</vt:filetime>
  </property>
  <property fmtid="{D5CDD505-2E9C-101B-9397-08002B2CF9AE}" pid="10" name="Objective-ModificationStamp">
    <vt:filetime>2016-10-26T16:03:31Z</vt:filetime>
  </property>
  <property fmtid="{D5CDD505-2E9C-101B-9397-08002B2CF9AE}" pid="11" name="Objective-Owner">
    <vt:lpwstr>Roberts, Simon S (N300247)</vt:lpwstr>
  </property>
  <property fmtid="{D5CDD505-2E9C-101B-9397-08002B2CF9AE}" pid="12" name="Objective-Path">
    <vt:lpwstr>Objective Global Folder:SG File Plan:People, communities and living:Housing:Housing - Sustainability Strategy:Advice and policy: Housing - Sustainability Strategy:Common cross-tenure house condition standard in Scotland: 2014:</vt:lpwstr>
  </property>
  <property fmtid="{D5CDD505-2E9C-101B-9397-08002B2CF9AE}" pid="13" name="Objective-Parent">
    <vt:lpwstr>Common cross-tenure house condition standard in Scotland: 2014</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